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C0162C">
      <w:pPr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lang w:val="en-US" w:eastAsia="zh-CN"/>
        </w:rPr>
        <w:t>保亿家网络科技有限公司招聘简章</w:t>
      </w:r>
    </w:p>
    <w:p w14:paraId="546E5A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both"/>
        <w:textAlignment w:val="auto"/>
        <w:rPr>
          <w:rFonts w:hint="default"/>
          <w:lang w:val="en-US" w:eastAsia="zh-CN"/>
        </w:rPr>
      </w:pPr>
    </w:p>
    <w:p w14:paraId="6413C653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公司简介</w:t>
      </w:r>
    </w:p>
    <w:p w14:paraId="600C59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480"/>
        <w:textAlignment w:val="auto"/>
        <w:rPr>
          <w:rFonts w:hint="eastAsia" w:ascii="仿宋" w:hAnsi="仿宋" w:eastAsia="仿宋"/>
          <w:sz w:val="24"/>
          <w:lang w:val="en-US" w:eastAsia="zh-CN"/>
        </w:rPr>
      </w:pPr>
      <w:r>
        <w:rPr>
          <w:rFonts w:hint="eastAsia" w:ascii="仿宋" w:hAnsi="仿宋" w:eastAsia="仿宋"/>
          <w:sz w:val="24"/>
          <w:lang w:val="en-US" w:eastAsia="zh-CN"/>
        </w:rPr>
        <w:t>保亿家网络科技有限公司（以下简称“保亿家”）成立于2020年，注册资本达15500万元人民币，是一家专注于为金融保险行业提供数字化服务解决方案的企业。依托自主研发的五大数字化平台——“客户安全教育平台”“线上教育平台”“客户养成类游戏互动平台”“数据运营管理平台”，保亿家致力于推动保险行业数字化转型，助力保险机构提升品牌价值，并为客户提供覆盖多场景的一站式服务。</w:t>
      </w:r>
    </w:p>
    <w:p w14:paraId="1475F8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480"/>
        <w:textAlignment w:val="auto"/>
        <w:rPr>
          <w:rFonts w:hint="default" w:ascii="仿宋" w:hAnsi="仿宋" w:eastAsia="仿宋"/>
          <w:sz w:val="24"/>
          <w:lang w:val="en-US" w:eastAsia="zh-CN"/>
        </w:rPr>
      </w:pPr>
      <w:r>
        <w:rPr>
          <w:rFonts w:hint="eastAsia" w:ascii="仿宋" w:hAnsi="仿宋" w:eastAsia="仿宋"/>
          <w:sz w:val="24"/>
          <w:lang w:val="en-US" w:eastAsia="zh-CN"/>
        </w:rPr>
        <w:t>保亿家网络科技收购浙江尹天保险公估有限公司后，在浙江、江苏、上海、山东、河北和湖南等地设立服务网点，建立起完善的区域服务网络。凭借独特的技术优势和丰富的理赔经验，已成功处理多起各类保险理赔案件；以及公正、严谨的工作态度，始终秉持客观中立原则，为客户提供高质量服务，赢得了保险机构、企业客户与个人客户的广泛赞誉与支持，成为保险公估行业的标杆企业。</w:t>
      </w:r>
    </w:p>
    <w:p w14:paraId="67159EF0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招聘岗位职责及相关薪酬待遇</w:t>
      </w:r>
    </w:p>
    <w:p w14:paraId="2772CF0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textAlignment w:val="auto"/>
        <w:rPr>
          <w:rFonts w:hint="default" w:ascii="仿宋" w:hAnsi="仿宋" w:eastAsia="仿宋"/>
          <w:sz w:val="24"/>
          <w:lang w:val="en-US" w:eastAsia="zh-CN"/>
        </w:rPr>
      </w:pPr>
      <w:r>
        <w:rPr>
          <w:rFonts w:hint="default" w:ascii="仿宋" w:hAnsi="仿宋" w:eastAsia="仿宋"/>
          <w:sz w:val="24"/>
          <w:lang w:val="en-US" w:eastAsia="zh-CN"/>
        </w:rPr>
        <w:t>招聘岗位</w:t>
      </w:r>
    </w:p>
    <w:p w14:paraId="07BAD2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default" w:ascii="仿宋" w:hAnsi="仿宋" w:eastAsia="仿宋"/>
          <w:sz w:val="24"/>
          <w:lang w:val="en-US" w:eastAsia="zh-CN"/>
        </w:rPr>
      </w:pPr>
      <w:r>
        <w:rPr>
          <w:rFonts w:hint="default" w:ascii="仿宋" w:hAnsi="仿宋" w:eastAsia="仿宋"/>
          <w:sz w:val="24"/>
          <w:lang w:val="en-US" w:eastAsia="zh-CN"/>
        </w:rPr>
        <w:t>公估师岗位职责：</w:t>
      </w:r>
      <w:r>
        <w:rPr>
          <w:rFonts w:hint="default" w:ascii="仿宋" w:hAnsi="仿宋" w:eastAsia="仿宋"/>
          <w:sz w:val="24"/>
          <w:lang w:val="en-US" w:eastAsia="zh-CN"/>
        </w:rPr>
        <w:br w:type="textWrapping"/>
      </w:r>
      <w:r>
        <w:rPr>
          <w:rFonts w:hint="default" w:ascii="仿宋" w:hAnsi="仿宋" w:eastAsia="仿宋"/>
          <w:sz w:val="24"/>
          <w:lang w:val="en-US" w:eastAsia="zh-CN"/>
        </w:rPr>
        <w:t>1. 事故现场调查：收集客观证据，抵达事故现场，通过拍照、录像、测量、笔录等方式，固定现场痕迹与损失状态；询问当事人、目击者或相关方（如车主、伤者、物业人员），记录事故经过、原因及损失细节，避免信息失真。</w:t>
      </w:r>
      <w:r>
        <w:rPr>
          <w:rFonts w:hint="default" w:ascii="仿宋" w:hAnsi="仿宋" w:eastAsia="仿宋"/>
          <w:sz w:val="24"/>
          <w:lang w:val="en-US" w:eastAsia="zh-CN"/>
        </w:rPr>
        <w:br w:type="textWrapping"/>
      </w:r>
      <w:r>
        <w:rPr>
          <w:rFonts w:hint="default" w:ascii="仿宋" w:hAnsi="仿宋" w:eastAsia="仿宋"/>
          <w:sz w:val="24"/>
          <w:lang w:val="en-US" w:eastAsia="zh-CN"/>
        </w:rPr>
        <w:t>2.损失评估：精准核算损失金额，对受损标的进行专业定损：财产类（如房屋、设备、货物）：判断损坏程度（全损 / 部分损失），结合标的原值、使用年限、折旧率、维修成本或重置成本，核算实际损失；</w:t>
      </w:r>
      <w:r>
        <w:rPr>
          <w:rFonts w:hint="default" w:ascii="仿宋" w:hAnsi="仿宋" w:eastAsia="仿宋"/>
          <w:sz w:val="24"/>
          <w:lang w:val="en-US" w:eastAsia="zh-CN"/>
        </w:rPr>
        <w:br w:type="textWrapping"/>
      </w:r>
      <w:r>
        <w:rPr>
          <w:rFonts w:hint="default" w:ascii="仿宋" w:hAnsi="仿宋" w:eastAsia="仿宋"/>
          <w:sz w:val="24"/>
          <w:lang w:val="en-US" w:eastAsia="zh-CN"/>
        </w:rPr>
        <w:t>3.保险责任判定：界定赔付范围，对照保险条款，分析事故原因是否属于 “保险责任范围”，排查 “免责情形”避免错赔或漏赔；若存在争议（如投保人认为属于保险责任，保险公司否认），需通过证据链（如事故认定书、现场痕迹）客观论证，明确责任边界。</w:t>
      </w:r>
      <w:r>
        <w:rPr>
          <w:rFonts w:hint="default" w:ascii="仿宋" w:hAnsi="仿宋" w:eastAsia="仿宋"/>
          <w:sz w:val="24"/>
          <w:lang w:val="en-US" w:eastAsia="zh-CN"/>
        </w:rPr>
        <w:br w:type="textWrapping"/>
      </w:r>
      <w:r>
        <w:rPr>
          <w:rFonts w:hint="default" w:ascii="仿宋" w:hAnsi="仿宋" w:eastAsia="仿宋"/>
          <w:sz w:val="24"/>
          <w:lang w:val="en-US" w:eastAsia="zh-CN"/>
        </w:rPr>
        <w:t>4.出具公估报告：提供专业结论，整理查勘数据、损失计算依据、责任判定理由，撰写《保险公估报告》；报告需具备 “客观性、逻辑性、可追溯性”：明确标注评估方法、数据来源（如配件价格截图、维修报价单）、关键证据（如现场照片编号），确保结论可验证。</w:t>
      </w:r>
    </w:p>
    <w:p w14:paraId="76E886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textAlignment w:val="auto"/>
        <w:rPr>
          <w:rFonts w:hint="default" w:ascii="仿宋" w:hAnsi="仿宋" w:eastAsia="仿宋"/>
          <w:sz w:val="24"/>
          <w:lang w:val="en-US" w:eastAsia="zh-CN"/>
        </w:rPr>
      </w:pPr>
      <w:r>
        <w:rPr>
          <w:rFonts w:hint="default" w:ascii="仿宋" w:hAnsi="仿宋" w:eastAsia="仿宋"/>
          <w:sz w:val="24"/>
          <w:lang w:val="en-US" w:eastAsia="zh-CN"/>
        </w:rPr>
        <w:t>综合内勤岗位职责：</w:t>
      </w:r>
      <w:r>
        <w:rPr>
          <w:rFonts w:hint="default" w:ascii="仿宋" w:hAnsi="仿宋" w:eastAsia="仿宋"/>
          <w:sz w:val="24"/>
          <w:lang w:val="en-US" w:eastAsia="zh-CN"/>
        </w:rPr>
        <w:br w:type="textWrapping"/>
      </w:r>
      <w:r>
        <w:rPr>
          <w:rFonts w:hint="default" w:ascii="仿宋" w:hAnsi="仿宋" w:eastAsia="仿宋"/>
          <w:sz w:val="24"/>
          <w:lang w:val="en-US" w:eastAsia="zh-CN"/>
        </w:rPr>
        <w:t>1.线上商城运营：执行产品上 / 下架前的信息核验流程，逐一核对商品基础信息（规格参数、定价、库存数量、适用场景）与实物一致性，确保无错填、漏填；排查 “已售罄商品未下架”“新增商品延迟上架” 等问题，保障商城商品展示合规、信息实时有效。</w:t>
      </w:r>
      <w:r>
        <w:rPr>
          <w:rFonts w:hint="default" w:ascii="仿宋" w:hAnsi="仿宋" w:eastAsia="仿宋"/>
          <w:sz w:val="24"/>
          <w:lang w:val="en-US" w:eastAsia="zh-CN"/>
        </w:rPr>
        <w:br w:type="textWrapping"/>
      </w:r>
      <w:r>
        <w:rPr>
          <w:rFonts w:hint="default" w:ascii="仿宋" w:hAnsi="仿宋" w:eastAsia="仿宋"/>
          <w:sz w:val="24"/>
          <w:lang w:val="en-US" w:eastAsia="zh-CN"/>
        </w:rPr>
        <w:t>2.文案制作：根据甲方要求按时完成线上推广文案的制作、线上商城公众号推文文案制作，撰写推文内容贴合主题，规避错别字、标点错误及信息偏差。</w:t>
      </w:r>
      <w:r>
        <w:rPr>
          <w:rFonts w:hint="default" w:ascii="仿宋" w:hAnsi="仿宋" w:eastAsia="仿宋"/>
          <w:sz w:val="24"/>
          <w:lang w:val="en-US" w:eastAsia="zh-CN"/>
        </w:rPr>
        <w:br w:type="textWrapping"/>
      </w:r>
      <w:r>
        <w:rPr>
          <w:rFonts w:hint="default" w:ascii="仿宋" w:hAnsi="仿宋" w:eastAsia="仿宋"/>
          <w:sz w:val="24"/>
          <w:lang w:val="en-US" w:eastAsia="zh-CN"/>
        </w:rPr>
        <w:t>3.统筹办公环境整理：协调人员维护公共区域卫生，管理办公区域的绿植、标识等，营造整洁有序的办公氛围。</w:t>
      </w:r>
      <w:r>
        <w:rPr>
          <w:rFonts w:hint="default" w:ascii="仿宋" w:hAnsi="仿宋" w:eastAsia="仿宋"/>
          <w:sz w:val="24"/>
          <w:lang w:val="en-US" w:eastAsia="zh-CN"/>
        </w:rPr>
        <w:br w:type="textWrapping"/>
      </w:r>
      <w:r>
        <w:rPr>
          <w:rFonts w:hint="default" w:ascii="仿宋" w:hAnsi="仿宋" w:eastAsia="仿宋"/>
          <w:sz w:val="24"/>
          <w:lang w:val="en-US" w:eastAsia="zh-CN"/>
        </w:rPr>
        <w:t>4.标书全流程协作：配合投标需求，按招标文件清单收集整理基础资料（企业资质复印件需在有效期内、过往类似项目业绩合同需包含 “项目名称 + 合作金额 + 甲乙双方盖章页 + 验收报告”、授权函需法定代表人签字 + 企业公章），逐一核验资料真实性与关联性健康保障及安全防护条件情况</w:t>
      </w:r>
    </w:p>
    <w:p w14:paraId="07CB28FE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textAlignment w:val="auto"/>
        <w:rPr>
          <w:rFonts w:hint="default" w:ascii="仿宋" w:hAnsi="仿宋" w:eastAsia="仿宋"/>
          <w:sz w:val="24"/>
          <w:lang w:val="en-US" w:eastAsia="zh-CN"/>
        </w:rPr>
      </w:pPr>
      <w:r>
        <w:rPr>
          <w:rFonts w:hint="default" w:ascii="仿宋" w:hAnsi="仿宋" w:eastAsia="仿宋"/>
          <w:sz w:val="24"/>
          <w:lang w:val="en-US" w:eastAsia="zh-CN"/>
        </w:rPr>
        <w:t>薪酬待遇:</w:t>
      </w:r>
      <w:r>
        <w:rPr>
          <w:rFonts w:hint="default" w:ascii="仿宋" w:hAnsi="仿宋" w:eastAsia="仿宋"/>
          <w:sz w:val="24"/>
          <w:lang w:val="en-US" w:eastAsia="zh-CN"/>
        </w:rPr>
        <w:br w:type="textWrapping"/>
      </w:r>
      <w:r>
        <w:rPr>
          <w:rFonts w:hint="default" w:ascii="仿宋" w:hAnsi="仿宋" w:eastAsia="仿宋"/>
          <w:sz w:val="24"/>
          <w:lang w:val="en-US" w:eastAsia="zh-CN"/>
        </w:rPr>
        <w:t>实习待遇：实习期间按2000元/月发放</w:t>
      </w:r>
    </w:p>
    <w:p w14:paraId="78EA9044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工作</w:t>
      </w:r>
      <w:r>
        <w:rPr>
          <w:rFonts w:hint="eastAsia"/>
          <w:b/>
          <w:bCs/>
          <w:lang w:val="en-US" w:eastAsia="zh-CN"/>
        </w:rPr>
        <w:t>、生活</w:t>
      </w:r>
      <w:r>
        <w:rPr>
          <w:rFonts w:hint="default"/>
          <w:b/>
          <w:bCs/>
          <w:lang w:val="en-US" w:eastAsia="zh-CN"/>
        </w:rPr>
        <w:t>环境</w:t>
      </w:r>
      <w:r>
        <w:rPr>
          <w:rFonts w:hint="eastAsia"/>
          <w:b/>
          <w:bCs/>
          <w:lang w:val="en-US" w:eastAsia="zh-CN"/>
        </w:rPr>
        <w:t>（图片）</w:t>
      </w:r>
    </w:p>
    <w:p w14:paraId="7A48A3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54830" cy="2821305"/>
            <wp:effectExtent l="0" t="0" r="7620" b="17145"/>
            <wp:docPr id="9" name="图片 9" descr="企业微信截图_17604930835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企业微信截图_176049308358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71B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19905" cy="2895600"/>
            <wp:effectExtent l="0" t="0" r="4445" b="0"/>
            <wp:docPr id="7" name="图片 7" descr="企业微信截图_17604930344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企业微信截图_176049303443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F22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18635" cy="3757930"/>
            <wp:effectExtent l="0" t="0" r="5715" b="13970"/>
            <wp:docPr id="3" name="图片 3" descr="ce22ae34-d1fe-4e03-b1da-5eb3e97d74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e22ae34-d1fe-4e03-b1da-5eb3e97d747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319905" cy="3239770"/>
            <wp:effectExtent l="0" t="0" r="4445" b="17780"/>
            <wp:docPr id="2" name="图片 2" descr="92c6dd50-b8bf-4dfe-881e-a805b8e0ddd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2c6dd50-b8bf-4dfe-881e-a805b8e0ddd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319905" cy="3239135"/>
            <wp:effectExtent l="0" t="0" r="4445" b="18415"/>
            <wp:docPr id="5" name="图片 5" descr="0ca08c1b-e6d1-4e25-9159-d9154040cc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ca08c1b-e6d1-4e25-9159-d9154040cc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8B818F13-6378-4CBA-84F1-31314C2743A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667E85ED-C466-4895-914B-D09EB0931DDC}"/>
  </w:font>
  <w:font w:name="WPSEMBED1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AEDDFD"/>
    <w:multiLevelType w:val="singleLevel"/>
    <w:tmpl w:val="20AEDDF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FF2D8C"/>
    <w:multiLevelType w:val="singleLevel"/>
    <w:tmpl w:val="34FF2D8C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kZWIxYjMzNWNmMjcxYjEyNTVkM2Q5NThjNmE1ODAifQ=="/>
  </w:docVars>
  <w:rsids>
    <w:rsidRoot w:val="12001B05"/>
    <w:rsid w:val="04E94675"/>
    <w:rsid w:val="0A801B5F"/>
    <w:rsid w:val="0E745939"/>
    <w:rsid w:val="12001B05"/>
    <w:rsid w:val="172F21AF"/>
    <w:rsid w:val="1A2226ED"/>
    <w:rsid w:val="2B782096"/>
    <w:rsid w:val="38BE7B4E"/>
    <w:rsid w:val="41A90ECF"/>
    <w:rsid w:val="42235E54"/>
    <w:rsid w:val="470F6383"/>
    <w:rsid w:val="49595AFA"/>
    <w:rsid w:val="561E35DE"/>
    <w:rsid w:val="690F51B7"/>
    <w:rsid w:val="6F9854D9"/>
    <w:rsid w:val="712C1F43"/>
    <w:rsid w:val="72D56E1C"/>
    <w:rsid w:val="75AA17DA"/>
    <w:rsid w:val="763F6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80" w:firstLineChars="200"/>
      <w:jc w:val="both"/>
    </w:pPr>
    <w:rPr>
      <w:rFonts w:eastAsia="仿宋_GB2312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  <w:outlineLvl w:val="1"/>
    </w:pPr>
    <w:rPr>
      <w:rFonts w:hint="eastAsia" w:ascii="宋体" w:hAnsi="宋体" w:eastAsia="黑体" w:cs="宋体"/>
      <w:b/>
      <w:bCs/>
      <w:kern w:val="0"/>
      <w:sz w:val="32"/>
      <w:szCs w:val="36"/>
      <w:lang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楷体_GB2312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1214</Words>
  <Characters>1232</Characters>
  <Lines>0</Lines>
  <Paragraphs>0</Paragraphs>
  <TotalTime>0</TotalTime>
  <ScaleCrop>false</ScaleCrop>
  <LinksUpToDate>false</LinksUpToDate>
  <CharactersWithSpaces>1251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2022-09-19T08:53:00Z</dcterms:created>
  <dc:creator>袁嘉巍</dc:creator>
  <cp:lastModifiedBy>下一个轮回</cp:lastModifiedBy>
  <dcterms:modified xsi:type="dcterms:W3CDTF">2025-10-24T03:05:50Z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64C408987F3A485DBB932C976B23FC43_13</vt:lpwstr>
  </property>
  <property fmtid="{D5CDD505-2E9C-101B-9397-08002B2CF9AE}" pid="4" name="KSOTemplateDocerSaveRecord">
    <vt:lpwstr>eyJoZGlkIjoiNjUxZDA3ODQ5ZDgzYzg4YTkzZmQ1NGUyZGQ3YWY2NzkiLCJ1c2VySWQiOiIyNzgxMjgxODcifQ==</vt:lpwstr>
  </property>
</Properties>
</file>