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80" w:hRule="atLeast"/>
          <w:jc w:val="center"/>
        </w:trPr>
        <w:tc>
          <w:tcPr>
            <w:tcW w:w="8522" w:type="dxa"/>
          </w:tcPr>
          <w:p>
            <w:pPr>
              <w:pStyle w:val="15"/>
              <w:jc w:val="center"/>
              <w:rPr>
                <w:rFonts w:ascii="Cambria" w:hAnsi="Cambria"/>
                <w:caps/>
                <w:szCs w:val="22"/>
              </w:rPr>
            </w:pPr>
          </w:p>
        </w:tc>
      </w:tr>
      <w:tr>
        <w:tblPrEx>
          <w:tblCellMar>
            <w:top w:w="0" w:type="dxa"/>
            <w:left w:w="108" w:type="dxa"/>
            <w:bottom w:w="0" w:type="dxa"/>
            <w:right w:w="108" w:type="dxa"/>
          </w:tblCellMar>
        </w:tblPrEx>
        <w:trPr>
          <w:trHeight w:val="1440" w:hRule="atLeast"/>
          <w:jc w:val="center"/>
        </w:trPr>
        <w:tc>
          <w:tcPr>
            <w:tcW w:w="8522" w:type="dxa"/>
            <w:vAlign w:val="center"/>
          </w:tcPr>
          <w:p>
            <w:pPr>
              <w:pStyle w:val="15"/>
              <w:jc w:val="center"/>
              <w:rPr>
                <w:rFonts w:ascii="黑体" w:hAnsi="黑体" w:eastAsia="黑体"/>
                <w:b/>
                <w:sz w:val="80"/>
                <w:szCs w:val="80"/>
              </w:rPr>
            </w:pPr>
            <w:r>
              <w:rPr>
                <w:rFonts w:hint="eastAsia" w:ascii="黑体" w:hAnsi="黑体" w:eastAsia="黑体"/>
                <w:b/>
                <w:sz w:val="160"/>
                <w:szCs w:val="80"/>
              </w:rPr>
              <w:t>招聘简章</w:t>
            </w:r>
          </w:p>
        </w:tc>
      </w:tr>
      <w:tr>
        <w:tblPrEx>
          <w:tblCellMar>
            <w:top w:w="0" w:type="dxa"/>
            <w:left w:w="108" w:type="dxa"/>
            <w:bottom w:w="0" w:type="dxa"/>
            <w:right w:w="108" w:type="dxa"/>
          </w:tblCellMar>
        </w:tblPrEx>
        <w:trPr>
          <w:trHeight w:val="720" w:hRule="atLeast"/>
          <w:jc w:val="center"/>
        </w:trPr>
        <w:tc>
          <w:tcPr>
            <w:tcW w:w="8522" w:type="dxa"/>
            <w:vAlign w:val="center"/>
          </w:tcPr>
          <w:p>
            <w:pPr>
              <w:pStyle w:val="15"/>
              <w:jc w:val="center"/>
              <w:rPr>
                <w:rFonts w:asciiTheme="majorEastAsia" w:hAnsiTheme="majorEastAsia" w:eastAsiaTheme="majorEastAsia"/>
                <w:sz w:val="32"/>
                <w:szCs w:val="44"/>
              </w:rPr>
            </w:pPr>
            <w:r>
              <w:rPr>
                <w:rFonts w:hint="eastAsia" w:asciiTheme="majorEastAsia" w:hAnsiTheme="majorEastAsia" w:eastAsiaTheme="majorEastAsia"/>
                <w:sz w:val="32"/>
                <w:szCs w:val="36"/>
              </w:rPr>
              <w:t>北京指南针科技发展股份有限公司广东分公司</w:t>
            </w:r>
          </w:p>
          <w:p>
            <w:pPr>
              <w:pStyle w:val="15"/>
              <w:jc w:val="center"/>
              <w:rPr>
                <w:rFonts w:asciiTheme="majorEastAsia" w:hAnsiTheme="majorEastAsia" w:eastAsiaTheme="majorEastAsia"/>
                <w:sz w:val="32"/>
                <w:szCs w:val="44"/>
              </w:rPr>
            </w:pPr>
            <w:r>
              <w:rPr>
                <w:rFonts w:hint="eastAsia" w:asciiTheme="majorEastAsia" w:hAnsiTheme="majorEastAsia" w:eastAsiaTheme="majorEastAsia"/>
                <w:sz w:val="32"/>
                <w:szCs w:val="44"/>
              </w:rPr>
              <w:t>——</w:t>
            </w:r>
            <w:r>
              <w:rPr>
                <w:rFonts w:hint="eastAsia" w:asciiTheme="majorEastAsia" w:hAnsiTheme="majorEastAsia" w:eastAsiaTheme="majorEastAsia"/>
                <w:sz w:val="32"/>
                <w:szCs w:val="36"/>
              </w:rPr>
              <w:t>广东指南针信息技术有限公司</w:t>
            </w:r>
          </w:p>
        </w:tc>
      </w:tr>
      <w:tr>
        <w:tblPrEx>
          <w:tblCellMar>
            <w:top w:w="0" w:type="dxa"/>
            <w:left w:w="108" w:type="dxa"/>
            <w:bottom w:w="0" w:type="dxa"/>
            <w:right w:w="108" w:type="dxa"/>
          </w:tblCellMar>
        </w:tblPrEx>
        <w:trPr>
          <w:trHeight w:val="360" w:hRule="atLeast"/>
          <w:jc w:val="center"/>
        </w:trPr>
        <w:tc>
          <w:tcPr>
            <w:tcW w:w="8522" w:type="dxa"/>
            <w:vAlign w:val="center"/>
          </w:tcPr>
          <w:p>
            <w:pPr>
              <w:pStyle w:val="15"/>
              <w:jc w:val="center"/>
              <w:rPr>
                <w:rFonts w:asciiTheme="majorEastAsia" w:hAnsiTheme="majorEastAsia" w:eastAsiaTheme="majorEastAsia"/>
                <w:b/>
                <w:sz w:val="32"/>
                <w:szCs w:val="22"/>
              </w:rPr>
            </w:pPr>
            <w:r>
              <w:rPr>
                <w:rFonts w:hint="eastAsia" w:asciiTheme="majorEastAsia" w:hAnsiTheme="majorEastAsia" w:eastAsiaTheme="majorEastAsia"/>
                <w:sz w:val="32"/>
                <w:szCs w:val="44"/>
              </w:rPr>
              <w:t>2020年8月</w:t>
            </w:r>
          </w:p>
        </w:tc>
      </w:tr>
      <w:tr>
        <w:tblPrEx>
          <w:tblCellMar>
            <w:top w:w="0" w:type="dxa"/>
            <w:left w:w="108" w:type="dxa"/>
            <w:bottom w:w="0" w:type="dxa"/>
            <w:right w:w="108" w:type="dxa"/>
          </w:tblCellMar>
        </w:tblPrEx>
        <w:trPr>
          <w:trHeight w:val="360" w:hRule="atLeast"/>
          <w:jc w:val="center"/>
        </w:trPr>
        <w:tc>
          <w:tcPr>
            <w:tcW w:w="8522" w:type="dxa"/>
            <w:vAlign w:val="center"/>
          </w:tcPr>
          <w:p>
            <w:pPr>
              <w:pStyle w:val="15"/>
              <w:rPr>
                <w:rFonts w:ascii="Calibri" w:hAnsi="Calibri"/>
                <w:b/>
                <w:bCs/>
                <w:szCs w:val="22"/>
              </w:rPr>
            </w:pPr>
          </w:p>
        </w:tc>
      </w:tr>
      <w:tr>
        <w:tblPrEx>
          <w:tblCellMar>
            <w:top w:w="0" w:type="dxa"/>
            <w:left w:w="108" w:type="dxa"/>
            <w:bottom w:w="0" w:type="dxa"/>
            <w:right w:w="108" w:type="dxa"/>
          </w:tblCellMar>
        </w:tblPrEx>
        <w:trPr>
          <w:trHeight w:val="360" w:hRule="atLeast"/>
          <w:jc w:val="center"/>
        </w:trPr>
        <w:tc>
          <w:tcPr>
            <w:tcW w:w="8522" w:type="dxa"/>
            <w:vAlign w:val="center"/>
          </w:tcPr>
          <w:p>
            <w:pPr>
              <w:pStyle w:val="15"/>
              <w:jc w:val="center"/>
              <w:rPr>
                <w:rFonts w:ascii="Calibri" w:hAnsi="Calibri"/>
                <w:b/>
                <w:bCs/>
                <w:szCs w:val="22"/>
              </w:rPr>
            </w:pPr>
          </w:p>
        </w:tc>
      </w:tr>
    </w:tbl>
    <w:p/>
    <w:p/>
    <w:tbl>
      <w:tblPr>
        <w:tblStyle w:val="10"/>
        <w:tblpPr w:leftFromText="187" w:rightFromText="187" w:vertAnchor="page" w:horzAnchor="margin" w:tblpY="9766"/>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tcPr>
          <w:p>
            <w:pPr>
              <w:pStyle w:val="15"/>
              <w:jc w:val="center"/>
              <w:rPr>
                <w:rFonts w:ascii="Calibri" w:hAnsi="Calibri"/>
                <w:szCs w:val="22"/>
              </w:rPr>
            </w:pPr>
            <w:r>
              <w:rPr>
                <w:rFonts w:ascii="Calibri" w:hAnsi="Calibri"/>
                <w:szCs w:val="22"/>
              </w:rPr>
              <w:drawing>
                <wp:inline distT="0" distB="0" distL="0" distR="0">
                  <wp:extent cx="2011680" cy="22967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2011680" cy="2296795"/>
                          </a:xfrm>
                          <a:prstGeom prst="rect">
                            <a:avLst/>
                          </a:prstGeom>
                          <a:noFill/>
                          <a:ln w="9525">
                            <a:noFill/>
                            <a:miter lim="800000"/>
                            <a:headEnd/>
                            <a:tailEnd/>
                          </a:ln>
                        </pic:spPr>
                      </pic:pic>
                    </a:graphicData>
                  </a:graphic>
                </wp:inline>
              </w:drawing>
            </w:r>
          </w:p>
        </w:tc>
      </w:tr>
    </w:tbl>
    <w:p>
      <w:pPr>
        <w:widowControl/>
        <w:jc w:val="left"/>
        <w:rPr>
          <w:sz w:val="30"/>
          <w:szCs w:val="30"/>
        </w:rPr>
      </w:pPr>
    </w:p>
    <w:p>
      <w:pPr>
        <w:pStyle w:val="2"/>
      </w:pPr>
      <w:r>
        <w:br w:type="page"/>
      </w:r>
    </w:p>
    <w:p>
      <w:pPr>
        <w:rPr>
          <w:sz w:val="44"/>
          <w:szCs w:val="48"/>
        </w:rPr>
      </w:pPr>
      <w:r>
        <w:rPr>
          <w:rFonts w:hint="eastAsia"/>
          <w:sz w:val="44"/>
          <w:szCs w:val="48"/>
        </w:rPr>
        <w:t>摘要</w:t>
      </w:r>
    </w:p>
    <w:p>
      <w:pPr>
        <w:widowControl/>
        <w:jc w:val="left"/>
        <w:rPr>
          <w:sz w:val="24"/>
          <w:szCs w:val="30"/>
        </w:rPr>
      </w:pPr>
      <w:r>
        <w:rPr>
          <w:rFonts w:hint="eastAsia"/>
          <w:sz w:val="30"/>
          <w:szCs w:val="30"/>
        </w:rPr>
        <w:tab/>
      </w:r>
      <w:r>
        <w:rPr>
          <w:rFonts w:hint="eastAsia"/>
          <w:sz w:val="24"/>
          <w:szCs w:val="30"/>
        </w:rPr>
        <w:t>广东指南针信息技术有限公司是隶属于北京指南针科技发展股份有限公司的全资子公司（下简称“指南针”或“公司”），公司成立于1997年，总部设立于北京TBD云集中心，第二大基地位于广东省金融高新区，</w:t>
      </w:r>
      <w:r>
        <w:rPr>
          <w:sz w:val="24"/>
          <w:szCs w:val="30"/>
        </w:rPr>
        <w:t xml:space="preserve"> 2007年1月，经中国证券业协会和证监会批准，北京指南针科技发展股份有限公司成功</w:t>
      </w:r>
      <w:r>
        <w:rPr>
          <w:rFonts w:hint="eastAsia"/>
          <w:sz w:val="24"/>
          <w:szCs w:val="30"/>
        </w:rPr>
        <w:t>在</w:t>
      </w:r>
      <w:r>
        <w:rPr>
          <w:sz w:val="24"/>
          <w:szCs w:val="30"/>
        </w:rPr>
        <w:t>深市</w:t>
      </w:r>
      <w:r>
        <w:fldChar w:fldCharType="begin"/>
      </w:r>
      <w:r>
        <w:instrText xml:space="preserve"> HYPERLINK "http://baike.sogou.com/lemma/ShowInnerLink.htm?lemmaId=114031&amp;ss_c=ssc.citiao.link" \t "_blank" </w:instrText>
      </w:r>
      <w:r>
        <w:fldChar w:fldCharType="separate"/>
      </w:r>
      <w:r>
        <w:rPr>
          <w:sz w:val="24"/>
          <w:szCs w:val="30"/>
        </w:rPr>
        <w:t>中关村科技园区</w:t>
      </w:r>
      <w:r>
        <w:rPr>
          <w:sz w:val="24"/>
          <w:szCs w:val="30"/>
        </w:rPr>
        <w:fldChar w:fldCharType="end"/>
      </w:r>
      <w:r>
        <w:fldChar w:fldCharType="begin"/>
      </w:r>
      <w:r>
        <w:instrText xml:space="preserve"> HYPERLINK "http://baike.sogou.com/lemma/ShowInnerLink.htm?lemmaId=490662&amp;ss_c=ssc.citiao.link" \t "_blank" </w:instrText>
      </w:r>
      <w:r>
        <w:fldChar w:fldCharType="separate"/>
      </w:r>
      <w:r>
        <w:rPr>
          <w:sz w:val="24"/>
          <w:szCs w:val="30"/>
        </w:rPr>
        <w:t>三板</w:t>
      </w:r>
      <w:r>
        <w:rPr>
          <w:sz w:val="24"/>
          <w:szCs w:val="30"/>
        </w:rPr>
        <w:fldChar w:fldCharType="end"/>
      </w:r>
      <w:r>
        <w:rPr>
          <w:sz w:val="24"/>
          <w:szCs w:val="30"/>
        </w:rPr>
        <w:t>成功挂牌上市（代码：430011，简称“指南针”），</w:t>
      </w:r>
      <w:r>
        <w:rPr>
          <w:rFonts w:hint="eastAsia"/>
          <w:sz w:val="24"/>
          <w:szCs w:val="30"/>
        </w:rPr>
        <w:t>现已转版到深圳创业板上市</w:t>
      </w:r>
      <w:r>
        <w:rPr>
          <w:sz w:val="24"/>
          <w:szCs w:val="30"/>
        </w:rPr>
        <w:t>（</w:t>
      </w:r>
      <w:r>
        <w:rPr>
          <w:rFonts w:hint="eastAsia"/>
          <w:sz w:val="24"/>
          <w:szCs w:val="30"/>
        </w:rPr>
        <w:t>A股主板</w:t>
      </w:r>
      <w:r>
        <w:rPr>
          <w:sz w:val="24"/>
          <w:szCs w:val="30"/>
        </w:rPr>
        <w:t>代码：</w:t>
      </w:r>
      <w:r>
        <w:rPr>
          <w:rFonts w:hint="eastAsia"/>
          <w:sz w:val="24"/>
          <w:szCs w:val="30"/>
        </w:rPr>
        <w:t>300803</w:t>
      </w:r>
      <w:r>
        <w:rPr>
          <w:sz w:val="24"/>
          <w:szCs w:val="30"/>
        </w:rPr>
        <w:t>，简称“指南针”），</w:t>
      </w:r>
      <w:r>
        <w:rPr>
          <w:rFonts w:hint="eastAsia"/>
          <w:sz w:val="24"/>
          <w:szCs w:val="30"/>
        </w:rPr>
        <w:t>目前</w:t>
      </w:r>
      <w:r>
        <w:rPr>
          <w:sz w:val="24"/>
          <w:szCs w:val="30"/>
        </w:rPr>
        <w:t>注册资本3</w:t>
      </w:r>
      <w:r>
        <w:rPr>
          <w:rFonts w:hint="eastAsia"/>
          <w:sz w:val="24"/>
          <w:szCs w:val="30"/>
        </w:rPr>
        <w:t>.</w:t>
      </w:r>
      <w:r>
        <w:rPr>
          <w:sz w:val="24"/>
          <w:szCs w:val="30"/>
        </w:rPr>
        <w:t>48</w:t>
      </w:r>
      <w:r>
        <w:rPr>
          <w:rFonts w:hint="eastAsia"/>
          <w:sz w:val="24"/>
          <w:szCs w:val="30"/>
        </w:rPr>
        <w:t>亿，在册员工</w:t>
      </w:r>
      <w:r>
        <w:rPr>
          <w:sz w:val="24"/>
          <w:szCs w:val="30"/>
        </w:rPr>
        <w:t>1000</w:t>
      </w:r>
      <w:r>
        <w:rPr>
          <w:rFonts w:hint="eastAsia"/>
          <w:sz w:val="24"/>
          <w:szCs w:val="30"/>
        </w:rPr>
        <w:t>余人。公司主要从事证券分析软件的研发和营销，以及保险经纪业务，所属行业为金融、投资咨询、软件开发、保险经纪、互联网营销，横跨金融证券和保险两大领域。</w:t>
      </w:r>
    </w:p>
    <w:p>
      <w:pPr>
        <w:widowControl/>
        <w:ind w:firstLine="480" w:firstLineChars="200"/>
        <w:jc w:val="left"/>
        <w:rPr>
          <w:sz w:val="24"/>
          <w:szCs w:val="30"/>
        </w:rPr>
      </w:pPr>
      <w:r>
        <w:rPr>
          <w:rFonts w:hint="eastAsia"/>
          <w:sz w:val="24"/>
          <w:szCs w:val="30"/>
        </w:rPr>
        <w:t>现公司面向应届毕业生提供客户顾问、储备干部、管培生的岗位，工作地点广东金融高新区。除正常薪酬及福利外，公司特为应届毕业生及实习生提供宿舍、食堂等便利。同时，为提升员工及实习生的工作及专业能力，公司将提供专业完整的岗前培训及在岗业务培训，包括提供专业的证券从业考试应试培训。所以，我们提供的不仅仅是一份工作，更是应届生提供了一个可以进入金融行业、晋升金融白领改变自己命运的机会。</w:t>
      </w:r>
    </w:p>
    <w:p>
      <w:pPr>
        <w:widowControl/>
        <w:ind w:firstLine="420"/>
        <w:jc w:val="left"/>
        <w:rPr>
          <w:sz w:val="24"/>
          <w:szCs w:val="30"/>
        </w:rPr>
      </w:pPr>
      <w:r>
        <w:rPr>
          <w:rFonts w:hint="eastAsia"/>
          <w:sz w:val="24"/>
          <w:szCs w:val="30"/>
        </w:rPr>
        <w:t>基于公司当前的规模与未来的扩张计划，指南针希望与有意向的高校建立长期合作关系，并为合作高校，长期优先提供岗位，共同提升就业率。</w:t>
      </w:r>
    </w:p>
    <w:p>
      <w:pPr>
        <w:widowControl/>
        <w:ind w:firstLine="720" w:firstLineChars="300"/>
        <w:jc w:val="left"/>
        <w:rPr>
          <w:sz w:val="24"/>
          <w:szCs w:val="30"/>
        </w:rPr>
      </w:pPr>
      <w:r>
        <w:rPr>
          <w:rFonts w:hint="eastAsia"/>
          <w:sz w:val="24"/>
          <w:szCs w:val="30"/>
        </w:rPr>
        <w:t>公司拟在2020年上半年，计划招聘员工100名（含实习），工作地点广东省金融高新区。（广东省金融高新区位于广佛交界的千灯湖，主要任务是承接珠三角地区金融行业产业转移，是珠三角的金融产业区，园区内广发银行金融中心、招商银行、中国人寿、中国平安、AIA友邦保险、海天味业等总部，指南针公司同样是市政府招商引资重点企业，同时也取得了市政府的大力支持）</w:t>
      </w:r>
    </w:p>
    <w:p>
      <w:pPr>
        <w:widowControl/>
        <w:ind w:firstLine="720" w:firstLineChars="300"/>
        <w:jc w:val="left"/>
        <w:rPr>
          <w:sz w:val="44"/>
          <w:szCs w:val="30"/>
        </w:rPr>
      </w:pPr>
      <w:r>
        <w:rPr>
          <w:rFonts w:hint="eastAsia" w:ascii="Arial" w:hAnsi="Arial" w:cs="Arial"/>
          <w:color w:val="191919"/>
          <w:sz w:val="24"/>
          <w:szCs w:val="18"/>
          <w:shd w:val="clear" w:color="auto" w:fill="FFFFFF"/>
        </w:rPr>
        <w:t>未来几年，金融高新区</w:t>
      </w:r>
      <w:r>
        <w:rPr>
          <w:rFonts w:ascii="Arial" w:hAnsi="Arial" w:cs="Arial"/>
          <w:color w:val="191919"/>
          <w:sz w:val="24"/>
          <w:szCs w:val="18"/>
          <w:shd w:val="clear" w:color="auto" w:fill="FFFFFF"/>
        </w:rPr>
        <w:t>将紧抓粤港澳大湾区建设机遇，围绕粤港澳大湾区金融战略布局，明晰金融高新区的发展定位，“强化国际化金融后台基地建设，努力打造产业金融新优势，成为粤港澳大湾区金融业战略布局的重要平台和佛山乃至广东的‘金融名片’”。</w:t>
      </w:r>
    </w:p>
    <w:p>
      <w:pPr>
        <w:pStyle w:val="2"/>
        <w:rPr>
          <w:rFonts w:ascii="宋体" w:hAnsi="宋体" w:cs="Courier New"/>
          <w:bCs w:val="0"/>
          <w:kern w:val="0"/>
          <w:sz w:val="24"/>
          <w:szCs w:val="24"/>
        </w:rPr>
      </w:pPr>
      <w:r>
        <w:rPr>
          <w:rFonts w:hint="eastAsia"/>
        </w:rPr>
        <w:t>公司业务</w:t>
      </w:r>
    </w:p>
    <w:p>
      <w:pPr>
        <w:spacing w:line="360" w:lineRule="auto"/>
        <w:ind w:firstLine="705" w:firstLineChars="294"/>
        <w:rPr>
          <w:rFonts w:ascii="宋体" w:hAnsi="宋体" w:cs="Courier New"/>
          <w:bCs/>
          <w:kern w:val="0"/>
          <w:sz w:val="24"/>
          <w:szCs w:val="24"/>
        </w:rPr>
      </w:pPr>
      <w:r>
        <w:rPr>
          <w:rFonts w:hint="eastAsia" w:ascii="宋体" w:hAnsi="宋体" w:cs="Courier New"/>
          <w:bCs/>
          <w:kern w:val="0"/>
          <w:sz w:val="24"/>
          <w:szCs w:val="24"/>
        </w:rPr>
        <w:t>作为中国最早的证券分析软件开发商和证券信息服务商之一，以专业化的证券研究和不断创新的发明而著称，集数据研究、产品开发、市场营销、客户服务为一体的行业内大型公众公司。</w:t>
      </w:r>
    </w:p>
    <w:p>
      <w:pPr>
        <w:spacing w:line="360" w:lineRule="auto"/>
        <w:ind w:firstLine="705" w:firstLineChars="294"/>
        <w:rPr>
          <w:rFonts w:ascii="宋体" w:hAnsi="宋体" w:cs="Courier New"/>
          <w:bCs/>
          <w:kern w:val="0"/>
          <w:sz w:val="24"/>
          <w:szCs w:val="24"/>
        </w:rPr>
      </w:pPr>
      <w:r>
        <w:rPr>
          <w:rFonts w:hint="eastAsia" w:ascii="宋体" w:hAnsi="宋体" w:cs="Courier New"/>
          <w:bCs/>
          <w:kern w:val="0"/>
          <w:sz w:val="24"/>
          <w:szCs w:val="24"/>
        </w:rPr>
        <w:t>指南针公司是国内主要交易所授权的正规经营的高新技术企业，公司每年投入大量成本用于采购各类高端行业数据，并通过强大的研发力量分类入库，进行深度加工和大数据分析，最终形成投资者简单易用、准确高效的软件工具产品。</w:t>
      </w:r>
    </w:p>
    <w:p>
      <w:pPr>
        <w:spacing w:line="360" w:lineRule="auto"/>
        <w:ind w:firstLine="705" w:firstLineChars="294"/>
        <w:rPr>
          <w:rFonts w:ascii="宋体" w:hAnsi="宋体" w:cs="Courier New"/>
          <w:bCs/>
          <w:kern w:val="0"/>
          <w:sz w:val="24"/>
          <w:szCs w:val="24"/>
          <w:highlight w:val="red"/>
        </w:rPr>
      </w:pPr>
      <w:r>
        <w:rPr>
          <w:rFonts w:hint="eastAsia" w:ascii="宋体" w:hAnsi="宋体" w:cs="Courier New"/>
          <w:bCs/>
          <w:kern w:val="0"/>
          <w:sz w:val="24"/>
          <w:szCs w:val="24"/>
        </w:rPr>
        <w:t>公司拥有一支以清华毕业生为骨干的高学历（博士后）、高素质的研发团队，其中有多名高考省级状元， 以</w:t>
      </w:r>
      <w:r>
        <w:rPr>
          <w:rFonts w:ascii="宋体" w:hAnsi="宋体" w:cs="Courier New"/>
          <w:bCs/>
          <w:kern w:val="0"/>
          <w:sz w:val="24"/>
          <w:szCs w:val="24"/>
        </w:rPr>
        <w:t>及</w:t>
      </w:r>
      <w:r>
        <w:rPr>
          <w:rFonts w:hint="eastAsia" w:ascii="宋体" w:hAnsi="宋体" w:cs="Courier New"/>
          <w:bCs/>
          <w:kern w:val="0"/>
          <w:sz w:val="24"/>
          <w:szCs w:val="24"/>
        </w:rPr>
        <w:t>拥有数十名分析师资格的</w:t>
      </w:r>
      <w:r>
        <w:rPr>
          <w:rFonts w:ascii="宋体" w:hAnsi="宋体" w:cs="Courier New"/>
          <w:bCs/>
          <w:kern w:val="0"/>
          <w:sz w:val="24"/>
          <w:szCs w:val="24"/>
        </w:rPr>
        <w:t>专家团队和</w:t>
      </w:r>
      <w:r>
        <w:rPr>
          <w:rFonts w:hint="eastAsia" w:ascii="宋体" w:hAnsi="宋体" w:cs="Courier New"/>
          <w:bCs/>
          <w:kern w:val="0"/>
          <w:sz w:val="24"/>
          <w:szCs w:val="24"/>
        </w:rPr>
        <w:t>1000余人客服团队，共获得</w:t>
      </w:r>
      <w:r>
        <w:rPr>
          <w:rFonts w:ascii="宋体" w:hAnsi="宋体" w:cs="Courier New"/>
          <w:bCs/>
          <w:kern w:val="0"/>
          <w:sz w:val="24"/>
          <w:szCs w:val="24"/>
        </w:rPr>
        <w:t>16项专属证券分析平台技术专利</w:t>
      </w:r>
      <w:r>
        <w:rPr>
          <w:rFonts w:hint="eastAsia" w:ascii="宋体" w:hAnsi="宋体" w:cs="Courier New"/>
          <w:bCs/>
          <w:kern w:val="0"/>
          <w:sz w:val="24"/>
          <w:szCs w:val="24"/>
        </w:rPr>
        <w:t>，完成了</w:t>
      </w:r>
      <w:r>
        <w:rPr>
          <w:rFonts w:ascii="宋体" w:hAnsi="宋体" w:cs="Courier New"/>
          <w:bCs/>
          <w:kern w:val="0"/>
          <w:sz w:val="24"/>
          <w:szCs w:val="24"/>
        </w:rPr>
        <w:t>380余项证券指标发明</w:t>
      </w:r>
      <w:r>
        <w:rPr>
          <w:rFonts w:hint="eastAsia" w:ascii="宋体" w:hAnsi="宋体" w:cs="Courier New"/>
          <w:bCs/>
          <w:kern w:val="0"/>
          <w:sz w:val="24"/>
          <w:szCs w:val="24"/>
        </w:rPr>
        <w:t>。2</w:t>
      </w:r>
      <w:r>
        <w:rPr>
          <w:rFonts w:ascii="宋体" w:hAnsi="宋体" w:cs="Courier New"/>
          <w:bCs/>
          <w:kern w:val="0"/>
          <w:sz w:val="24"/>
          <w:szCs w:val="24"/>
        </w:rPr>
        <w:t>009年推出的全赢决策系列产品，是指南针的旗舰品牌，获得了市场的广泛认同和好评。</w:t>
      </w:r>
      <w:r>
        <w:rPr>
          <w:rFonts w:hint="eastAsia" w:ascii="宋体" w:hAnsi="宋体" w:cs="Courier New"/>
          <w:bCs/>
          <w:kern w:val="0"/>
          <w:sz w:val="24"/>
          <w:szCs w:val="24"/>
        </w:rPr>
        <w:t>公司2012推出的《全赢博弈一键选股版》、2013年首推的最高版本《全赢私享家版》，及业内独家首创的《先锋策略平台》、填补证券分析信息面空白的《消息龙虎榜》等多款智能决策系统，赢得了市场的赞誉，并得到了投资者的广泛认可。</w:t>
      </w:r>
    </w:p>
    <w:p>
      <w:pPr>
        <w:spacing w:line="360" w:lineRule="auto"/>
        <w:ind w:firstLine="705" w:firstLineChars="294"/>
        <w:rPr>
          <w:rFonts w:ascii="宋体" w:hAnsi="宋体" w:cs="Courier New"/>
          <w:bCs/>
          <w:kern w:val="0"/>
          <w:sz w:val="24"/>
          <w:szCs w:val="24"/>
          <w:highlight w:val="red"/>
        </w:rPr>
      </w:pPr>
      <w:r>
        <w:rPr>
          <w:rFonts w:hint="eastAsia" w:ascii="宋体" w:hAnsi="宋体" w:cs="Courier New"/>
          <w:bCs/>
          <w:kern w:val="0"/>
          <w:sz w:val="24"/>
          <w:szCs w:val="24"/>
        </w:rPr>
        <w:t>公司近两年致力于探索全新的互联网金融营销模式，努力实现客户、公司和员工的“三赢”局面，取得了卓有成效的成绩。2016年，公司实现产品销售收入超过6亿元，一线普通销售人员（客户顾问）年人均收入10万以上。2017年公司销售继续乘风破浪，产品销售收入达到7亿多元，业务快速增长。2017年度实现一线销售人员年人均收入达12万元，公司用户数更是突破百万。</w:t>
      </w:r>
    </w:p>
    <w:p>
      <w:pPr>
        <w:pStyle w:val="2"/>
        <w:rPr>
          <w:rFonts w:ascii="宋体" w:hAnsi="宋体" w:cs="Courier New"/>
          <w:kern w:val="0"/>
          <w:sz w:val="24"/>
          <w:szCs w:val="24"/>
        </w:rPr>
      </w:pPr>
      <w:r>
        <w:rPr>
          <w:rFonts w:ascii="宋体" w:hAnsi="宋体" w:cs="Courier New"/>
          <w:bCs w:val="0"/>
          <w:kern w:val="0"/>
          <w:sz w:val="24"/>
          <w:szCs w:val="24"/>
        </w:rPr>
        <w:br w:type="page"/>
      </w:r>
      <w:r>
        <w:rPr>
          <w:rFonts w:hint="eastAsia"/>
          <w:bCs w:val="0"/>
        </w:rPr>
        <w:t>招聘岗位及薪酬福利</w:t>
      </w:r>
    </w:p>
    <w:p>
      <w:pPr>
        <w:spacing w:line="360" w:lineRule="auto"/>
        <w:ind w:firstLine="705" w:firstLineChars="294"/>
        <w:rPr>
          <w:rFonts w:ascii="宋体" w:hAnsi="宋体" w:cs="Courier New"/>
          <w:bCs/>
          <w:kern w:val="0"/>
          <w:sz w:val="24"/>
          <w:szCs w:val="24"/>
        </w:rPr>
      </w:pPr>
      <w:r>
        <w:rPr>
          <w:rFonts w:hint="eastAsia" w:ascii="宋体" w:hAnsi="宋体" w:cs="Courier New"/>
          <w:bCs/>
          <w:kern w:val="0"/>
          <w:sz w:val="24"/>
          <w:szCs w:val="24"/>
        </w:rPr>
        <w:t>公司对建立了合作关系的高校，优先长期提供稳定的招聘名额。公司愿与高校合作共同提升毕业生就业率。</w:t>
      </w:r>
      <w:r>
        <w:rPr>
          <w:rFonts w:hint="eastAsia"/>
          <w:sz w:val="24"/>
          <w:szCs w:val="30"/>
        </w:rPr>
        <w:t>2020年下半年</w:t>
      </w:r>
      <w:r>
        <w:rPr>
          <w:rFonts w:hint="eastAsia" w:ascii="宋体" w:hAnsi="宋体" w:cs="Courier New"/>
          <w:b/>
          <w:bCs/>
          <w:kern w:val="0"/>
          <w:sz w:val="24"/>
          <w:szCs w:val="24"/>
        </w:rPr>
        <w:t>，公司拟招聘岗位总数100人（含实习岗位），工作地点广东省金融高新区。</w:t>
      </w:r>
    </w:p>
    <w:p>
      <w:pPr>
        <w:spacing w:line="360" w:lineRule="auto"/>
        <w:ind w:firstLine="705" w:firstLineChars="294"/>
        <w:rPr>
          <w:rFonts w:ascii="宋体" w:hAnsi="宋体" w:cs="Courier New"/>
          <w:bCs/>
          <w:kern w:val="0"/>
          <w:sz w:val="24"/>
          <w:szCs w:val="24"/>
        </w:rPr>
      </w:pPr>
      <w:r>
        <w:rPr>
          <w:rFonts w:hint="eastAsia" w:ascii="宋体" w:hAnsi="宋体" w:cs="Courier New"/>
          <w:bCs/>
          <w:kern w:val="0"/>
          <w:sz w:val="24"/>
          <w:szCs w:val="24"/>
        </w:rPr>
        <w:t>公司严格依法为员工提供社会保险等各项福利，收入依法纳税，为实习生、异地员工提供宿舍及食堂的便利，</w:t>
      </w:r>
      <w:r>
        <w:rPr>
          <w:rFonts w:hint="eastAsia"/>
          <w:sz w:val="24"/>
        </w:rPr>
        <w:t>享受免费的岗前培训、在岗技能培训及金融行业等相关专业培训，同时公司将定期组织优秀员工出国游或国内游作为工作奖励。</w:t>
      </w:r>
    </w:p>
    <w:p>
      <w:pPr>
        <w:pStyle w:val="3"/>
        <w:numPr>
          <w:ilvl w:val="0"/>
          <w:numId w:val="1"/>
        </w:numPr>
        <w:rPr>
          <w:b w:val="0"/>
          <w:sz w:val="24"/>
        </w:rPr>
      </w:pPr>
      <w:r>
        <w:rPr>
          <w:rFonts w:hint="eastAsia"/>
        </w:rPr>
        <w:t>储备干部/管培生</w:t>
      </w:r>
      <w:r>
        <w:rPr>
          <w:rFonts w:hint="eastAsia"/>
          <w:lang w:val="en-US" w:eastAsia="zh-CN"/>
        </w:rPr>
        <w:t>2</w:t>
      </w:r>
      <w:r>
        <w:rPr>
          <w:rFonts w:hint="eastAsia"/>
        </w:rPr>
        <w:t>0名+ 客户顾问</w:t>
      </w:r>
      <w:r>
        <w:rPr>
          <w:rFonts w:hint="eastAsia"/>
          <w:lang w:val="en-US" w:eastAsia="zh-CN"/>
        </w:rPr>
        <w:t>4</w:t>
      </w:r>
      <w:r>
        <w:rPr>
          <w:rFonts w:hint="eastAsia"/>
        </w:rPr>
        <w:t>0名</w:t>
      </w:r>
      <w:r>
        <w:rPr>
          <w:rFonts w:hint="eastAsia"/>
          <w:b w:val="0"/>
          <w:sz w:val="24"/>
        </w:rPr>
        <w:t>（提供正式岗位及实习机会）</w:t>
      </w:r>
    </w:p>
    <w:p>
      <w:pPr>
        <w:spacing w:line="360" w:lineRule="auto"/>
        <w:ind w:firstLine="420"/>
        <w:rPr>
          <w:sz w:val="24"/>
        </w:rPr>
      </w:pPr>
      <w:r>
        <w:rPr>
          <w:rFonts w:hint="eastAsia"/>
          <w:sz w:val="24"/>
        </w:rPr>
        <w:t>岗位年薪：参考2018/2019年，</w:t>
      </w:r>
      <w:r>
        <w:rPr>
          <w:rFonts w:hint="eastAsia"/>
          <w:b/>
          <w:sz w:val="24"/>
        </w:rPr>
        <w:t>本岗位年平均收入8-15万元</w:t>
      </w:r>
    </w:p>
    <w:p>
      <w:pPr>
        <w:spacing w:line="360" w:lineRule="auto"/>
        <w:rPr>
          <w:sz w:val="24"/>
        </w:rPr>
      </w:pPr>
      <w:r>
        <w:rPr>
          <w:rFonts w:hint="eastAsia"/>
          <w:sz w:val="24"/>
        </w:rPr>
        <w:t>月薪构成：基本工资3520+提成（销售额的10%，上不封顶）</w:t>
      </w:r>
      <w:r>
        <w:rPr>
          <w:sz w:val="24"/>
        </w:rPr>
        <w:t>+</w:t>
      </w:r>
      <w:r>
        <w:rPr>
          <w:rFonts w:hint="eastAsia"/>
          <w:sz w:val="24"/>
        </w:rPr>
        <w:t>饭</w:t>
      </w:r>
      <w:r>
        <w:rPr>
          <w:sz w:val="24"/>
        </w:rPr>
        <w:t>餐补</w:t>
      </w:r>
      <w:r>
        <w:rPr>
          <w:rFonts w:hint="eastAsia"/>
          <w:sz w:val="24"/>
        </w:rPr>
        <w:t>帖</w:t>
      </w:r>
      <w:r>
        <w:rPr>
          <w:sz w:val="24"/>
        </w:rPr>
        <w:t>+业绩奖金（100-5000）</w:t>
      </w:r>
    </w:p>
    <w:p>
      <w:pPr>
        <w:spacing w:line="360" w:lineRule="auto"/>
        <w:rPr>
          <w:sz w:val="24"/>
        </w:rPr>
      </w:pPr>
      <w:r>
        <w:rPr>
          <w:rFonts w:hint="eastAsia"/>
          <w:sz w:val="24"/>
        </w:rPr>
        <w:t>薪资特点：基本保障工资+高提成</w:t>
      </w:r>
    </w:p>
    <w:p>
      <w:pPr>
        <w:widowControl/>
        <w:spacing w:line="420" w:lineRule="atLeast"/>
        <w:jc w:val="left"/>
        <w:rPr>
          <w:sz w:val="24"/>
        </w:rPr>
      </w:pPr>
      <w:r>
        <w:rPr>
          <w:rFonts w:hint="eastAsia"/>
          <w:sz w:val="24"/>
        </w:rPr>
        <w:t xml:space="preserve">福利待遇： </w:t>
      </w:r>
    </w:p>
    <w:p>
      <w:pPr>
        <w:widowControl/>
        <w:spacing w:line="420" w:lineRule="atLeast"/>
        <w:ind w:firstLine="480" w:firstLineChars="200"/>
        <w:jc w:val="left"/>
        <w:rPr>
          <w:sz w:val="24"/>
          <w:highlight w:val="yellow"/>
        </w:rPr>
      </w:pPr>
      <w:r>
        <w:rPr>
          <w:rFonts w:hint="eastAsia"/>
          <w:sz w:val="24"/>
          <w:highlight w:val="yellow"/>
        </w:rPr>
        <w:t>1、</w:t>
      </w:r>
      <w:r>
        <w:rPr>
          <w:rFonts w:hint="eastAsia"/>
          <w:sz w:val="22"/>
          <w:highlight w:val="yellow"/>
        </w:rPr>
        <w:t>公司针对每位员工特设旅游基金，每月都有冲刺旅游基金的机会，积累下来在长假的时候安排国内外旅游；</w:t>
      </w:r>
    </w:p>
    <w:p>
      <w:pPr>
        <w:widowControl/>
        <w:spacing w:line="420" w:lineRule="atLeast"/>
        <w:jc w:val="left"/>
        <w:rPr>
          <w:sz w:val="22"/>
        </w:rPr>
      </w:pPr>
      <w:r>
        <w:rPr>
          <w:rFonts w:hint="eastAsia"/>
          <w:sz w:val="24"/>
          <w:highlight w:val="yellow"/>
        </w:rPr>
        <w:t xml:space="preserve">    </w:t>
      </w:r>
      <w:r>
        <w:rPr>
          <w:rFonts w:hint="eastAsia"/>
          <w:sz w:val="22"/>
          <w:highlight w:val="yellow"/>
        </w:rPr>
        <w:t>2、孝心金：新员工入职满一年，会在年底的时候给员工父母账户上汇入一笔孝心金，第一年1000，第二年+200，以此类推，最高2000；</w:t>
      </w:r>
    </w:p>
    <w:p>
      <w:pPr>
        <w:widowControl/>
        <w:spacing w:line="420" w:lineRule="atLeast"/>
        <w:ind w:firstLine="425" w:firstLineChars="176"/>
        <w:jc w:val="left"/>
        <w:rPr>
          <w:rFonts w:ascii="Verdana" w:hAnsi="Verdana" w:cs="宋体"/>
          <w:spacing w:val="16"/>
          <w:kern w:val="0"/>
          <w:szCs w:val="21"/>
        </w:rPr>
      </w:pPr>
      <w:r>
        <w:rPr>
          <w:rFonts w:hint="eastAsia" w:ascii="Verdana" w:hAnsi="Verdana" w:cs="宋体"/>
          <w:spacing w:val="16"/>
          <w:kern w:val="0"/>
          <w:szCs w:val="21"/>
        </w:rPr>
        <w:t>3</w:t>
      </w:r>
      <w:r>
        <w:rPr>
          <w:rFonts w:ascii="Verdana" w:hAnsi="Verdana" w:cs="宋体"/>
          <w:spacing w:val="16"/>
          <w:kern w:val="0"/>
          <w:szCs w:val="21"/>
        </w:rPr>
        <w:t>、享受五险</w:t>
      </w:r>
      <w:r>
        <w:rPr>
          <w:rFonts w:hint="eastAsia" w:ascii="Verdana" w:hAnsi="Verdana" w:cs="宋体"/>
          <w:spacing w:val="16"/>
          <w:kern w:val="0"/>
          <w:szCs w:val="21"/>
        </w:rPr>
        <w:t>一金</w:t>
      </w:r>
      <w:r>
        <w:rPr>
          <w:rFonts w:ascii="Verdana" w:hAnsi="Verdana" w:cs="宋体"/>
          <w:spacing w:val="16"/>
          <w:kern w:val="0"/>
          <w:szCs w:val="21"/>
        </w:rPr>
        <w:t>及每年员工免费健康体检</w:t>
      </w:r>
    </w:p>
    <w:p>
      <w:pPr>
        <w:widowControl/>
        <w:spacing w:line="420" w:lineRule="atLeast"/>
        <w:ind w:firstLine="425" w:firstLineChars="176"/>
        <w:jc w:val="left"/>
        <w:rPr>
          <w:rFonts w:ascii="Verdana" w:hAnsi="Verdana" w:cs="宋体"/>
          <w:spacing w:val="16"/>
          <w:kern w:val="0"/>
          <w:szCs w:val="21"/>
        </w:rPr>
      </w:pPr>
      <w:r>
        <w:rPr>
          <w:rFonts w:hint="eastAsia" w:ascii="Verdana" w:hAnsi="Verdana" w:cs="宋体"/>
          <w:spacing w:val="16"/>
          <w:kern w:val="0"/>
          <w:szCs w:val="21"/>
        </w:rPr>
        <w:t>4</w:t>
      </w:r>
      <w:r>
        <w:rPr>
          <w:rFonts w:ascii="Verdana" w:hAnsi="Verdana" w:cs="宋体"/>
          <w:spacing w:val="16"/>
          <w:kern w:val="0"/>
          <w:szCs w:val="21"/>
        </w:rPr>
        <w:t>、每逢周六及国家法定节假日休息，</w:t>
      </w:r>
      <w:r>
        <w:rPr>
          <w:rFonts w:hint="eastAsia" w:ascii="Verdana" w:hAnsi="Verdana" w:cs="宋体"/>
          <w:spacing w:val="16"/>
          <w:kern w:val="0"/>
          <w:szCs w:val="21"/>
        </w:rPr>
        <w:t>传统节日有</w:t>
      </w:r>
      <w:r>
        <w:rPr>
          <w:rFonts w:ascii="Verdana" w:hAnsi="Verdana" w:cs="宋体"/>
          <w:spacing w:val="16"/>
          <w:kern w:val="0"/>
          <w:szCs w:val="21"/>
        </w:rPr>
        <w:t>过节费</w:t>
      </w:r>
      <w:r>
        <w:rPr>
          <w:rFonts w:hint="eastAsia" w:ascii="Verdana" w:hAnsi="Verdana" w:cs="宋体"/>
          <w:spacing w:val="16"/>
          <w:kern w:val="0"/>
          <w:szCs w:val="21"/>
        </w:rPr>
        <w:t>和节日礼物</w:t>
      </w:r>
      <w:r>
        <w:rPr>
          <w:rFonts w:ascii="Verdana" w:hAnsi="Verdana" w:cs="宋体"/>
          <w:spacing w:val="16"/>
          <w:kern w:val="0"/>
          <w:szCs w:val="21"/>
        </w:rPr>
        <w:t>；</w:t>
      </w:r>
    </w:p>
    <w:p>
      <w:pPr>
        <w:widowControl/>
        <w:spacing w:line="420" w:lineRule="atLeast"/>
        <w:ind w:firstLine="425" w:firstLineChars="176"/>
        <w:jc w:val="left"/>
        <w:rPr>
          <w:rFonts w:ascii="Verdana" w:hAnsi="Verdana" w:cs="宋体"/>
          <w:spacing w:val="16"/>
          <w:kern w:val="0"/>
          <w:szCs w:val="21"/>
        </w:rPr>
      </w:pPr>
      <w:r>
        <w:rPr>
          <w:rFonts w:hint="eastAsia" w:ascii="Verdana" w:hAnsi="Verdana" w:cs="宋体"/>
          <w:spacing w:val="16"/>
          <w:kern w:val="0"/>
          <w:szCs w:val="21"/>
        </w:rPr>
        <w:t>5</w:t>
      </w:r>
      <w:r>
        <w:rPr>
          <w:rFonts w:ascii="Verdana" w:hAnsi="Verdana" w:cs="宋体"/>
          <w:spacing w:val="16"/>
          <w:kern w:val="0"/>
          <w:szCs w:val="21"/>
        </w:rPr>
        <w:t>、公司提供公寓式员工宿舍（</w:t>
      </w:r>
      <w:r>
        <w:rPr>
          <w:rFonts w:hint="eastAsia" w:ascii="Verdana" w:hAnsi="Verdana" w:cs="宋体"/>
          <w:spacing w:val="16"/>
          <w:kern w:val="0"/>
          <w:szCs w:val="21"/>
        </w:rPr>
        <w:t>单车8</w:t>
      </w:r>
      <w:r>
        <w:rPr>
          <w:rFonts w:ascii="Verdana" w:hAnsi="Verdana" w:cs="宋体"/>
          <w:spacing w:val="16"/>
          <w:kern w:val="0"/>
          <w:szCs w:val="21"/>
        </w:rPr>
        <w:t>-</w:t>
      </w:r>
      <w:r>
        <w:rPr>
          <w:rFonts w:hint="eastAsia" w:ascii="Verdana" w:hAnsi="Verdana" w:cs="宋体"/>
          <w:spacing w:val="16"/>
          <w:kern w:val="0"/>
          <w:szCs w:val="21"/>
        </w:rPr>
        <w:t>10</w:t>
      </w:r>
      <w:r>
        <w:rPr>
          <w:rFonts w:ascii="Verdana" w:hAnsi="Verdana" w:cs="宋体"/>
          <w:spacing w:val="16"/>
          <w:kern w:val="0"/>
          <w:szCs w:val="21"/>
        </w:rPr>
        <w:t>分钟，配有家电家具</w:t>
      </w:r>
      <w:r>
        <w:rPr>
          <w:rFonts w:hint="eastAsia" w:ascii="Verdana" w:hAnsi="Verdana" w:cs="宋体"/>
          <w:spacing w:val="16"/>
          <w:kern w:val="0"/>
          <w:szCs w:val="21"/>
        </w:rPr>
        <w:t>,2-4人/间</w:t>
      </w:r>
      <w:r>
        <w:rPr>
          <w:rFonts w:ascii="Verdana" w:hAnsi="Verdana" w:cs="宋体"/>
          <w:spacing w:val="16"/>
          <w:kern w:val="0"/>
          <w:szCs w:val="21"/>
        </w:rPr>
        <w:t>）；</w:t>
      </w:r>
    </w:p>
    <w:p>
      <w:pPr>
        <w:widowControl/>
        <w:spacing w:line="420" w:lineRule="atLeast"/>
        <w:ind w:left="424" w:leftChars="202"/>
        <w:jc w:val="left"/>
        <w:rPr>
          <w:rFonts w:ascii="Verdana" w:hAnsi="Verdana" w:cs="宋体"/>
          <w:spacing w:val="16"/>
          <w:kern w:val="0"/>
          <w:szCs w:val="21"/>
        </w:rPr>
      </w:pPr>
      <w:r>
        <w:rPr>
          <w:rFonts w:hint="eastAsia" w:ascii="Verdana" w:hAnsi="Verdana" w:cs="宋体"/>
          <w:spacing w:val="16"/>
          <w:kern w:val="0"/>
          <w:szCs w:val="21"/>
        </w:rPr>
        <w:t>6</w:t>
      </w:r>
      <w:r>
        <w:rPr>
          <w:rFonts w:ascii="Verdana" w:hAnsi="Verdana" w:cs="宋体"/>
          <w:spacing w:val="16"/>
          <w:kern w:val="0"/>
          <w:szCs w:val="21"/>
        </w:rPr>
        <w:t>、公司</w:t>
      </w:r>
      <w:r>
        <w:rPr>
          <w:rFonts w:hint="eastAsia" w:ascii="Verdana" w:hAnsi="Verdana" w:cs="宋体"/>
          <w:spacing w:val="16"/>
          <w:kern w:val="0"/>
          <w:szCs w:val="21"/>
        </w:rPr>
        <w:t>2-3层</w:t>
      </w:r>
      <w:r>
        <w:rPr>
          <w:rFonts w:ascii="Verdana" w:hAnsi="Verdana" w:cs="宋体"/>
          <w:spacing w:val="16"/>
          <w:kern w:val="0"/>
          <w:szCs w:val="21"/>
        </w:rPr>
        <w:t>员工就餐食堂，环境干净、食用卫生；</w:t>
      </w:r>
    </w:p>
    <w:p>
      <w:pPr>
        <w:widowControl/>
        <w:spacing w:line="420" w:lineRule="atLeast"/>
        <w:ind w:firstLine="425" w:firstLineChars="176"/>
        <w:jc w:val="left"/>
        <w:rPr>
          <w:rFonts w:ascii="Verdana" w:hAnsi="Verdana" w:cs="宋体"/>
          <w:spacing w:val="16"/>
          <w:kern w:val="0"/>
          <w:szCs w:val="21"/>
        </w:rPr>
      </w:pPr>
      <w:r>
        <w:rPr>
          <w:rFonts w:hint="eastAsia" w:ascii="Verdana" w:hAnsi="Verdana" w:cs="宋体"/>
          <w:spacing w:val="16"/>
          <w:kern w:val="0"/>
          <w:szCs w:val="21"/>
        </w:rPr>
        <w:t>7</w:t>
      </w:r>
      <w:r>
        <w:rPr>
          <w:rFonts w:ascii="Verdana" w:hAnsi="Verdana" w:cs="宋体"/>
          <w:spacing w:val="16"/>
          <w:kern w:val="0"/>
          <w:szCs w:val="21"/>
        </w:rPr>
        <w:t>、公司定期为员工组织丰富多彩的户外拓展活动、休闲娱乐活动及国外内免费旅游奖励；</w:t>
      </w:r>
    </w:p>
    <w:p>
      <w:pPr>
        <w:widowControl/>
        <w:spacing w:line="420" w:lineRule="atLeast"/>
        <w:ind w:firstLine="425" w:firstLineChars="176"/>
        <w:jc w:val="left"/>
        <w:rPr>
          <w:rFonts w:ascii="Verdana" w:hAnsi="Verdana" w:cs="宋体"/>
          <w:spacing w:val="16"/>
          <w:kern w:val="0"/>
          <w:szCs w:val="21"/>
        </w:rPr>
      </w:pPr>
      <w:r>
        <w:rPr>
          <w:rFonts w:hint="eastAsia" w:ascii="Verdana" w:hAnsi="Verdana" w:cs="宋体"/>
          <w:spacing w:val="16"/>
          <w:kern w:val="0"/>
          <w:szCs w:val="21"/>
        </w:rPr>
        <w:t>8</w:t>
      </w:r>
      <w:r>
        <w:rPr>
          <w:rFonts w:ascii="Verdana" w:hAnsi="Verdana" w:cs="宋体"/>
          <w:spacing w:val="16"/>
          <w:kern w:val="0"/>
          <w:szCs w:val="21"/>
        </w:rPr>
        <w:t>、新员工入职免费提供岗前、岗中技能培训，实战培训等，并有经理带领、小师傅辅导，让您对金融行业有更好的理解；</w:t>
      </w:r>
    </w:p>
    <w:p>
      <w:pPr>
        <w:spacing w:line="360" w:lineRule="auto"/>
        <w:ind w:left="1133" w:hanging="1132" w:hangingChars="472"/>
        <w:rPr>
          <w:sz w:val="24"/>
        </w:rPr>
      </w:pPr>
    </w:p>
    <w:p>
      <w:pPr>
        <w:spacing w:line="360" w:lineRule="auto"/>
        <w:ind w:left="1133" w:hanging="1132" w:hangingChars="472"/>
        <w:rPr>
          <w:sz w:val="24"/>
        </w:rPr>
      </w:pPr>
      <w:r>
        <w:rPr>
          <w:rFonts w:hint="eastAsia"/>
          <w:sz w:val="24"/>
        </w:rPr>
        <w:t>建议专业：财经商贸大</w:t>
      </w:r>
      <w:r>
        <w:rPr>
          <w:rFonts w:hint="eastAsia"/>
          <w:sz w:val="24"/>
          <w:lang w:val="en-US" w:eastAsia="zh-CN"/>
        </w:rPr>
        <w:t>类专业优先</w:t>
      </w:r>
      <w:bookmarkStart w:id="0" w:name="_GoBack"/>
      <w:bookmarkEnd w:id="0"/>
      <w:r>
        <w:rPr>
          <w:rFonts w:hint="eastAsia"/>
          <w:sz w:val="24"/>
        </w:rPr>
        <w:t>（由于公司有完善的岗位培训方案，因此专业原则不限，上述仅作为建议参考）</w:t>
      </w:r>
    </w:p>
    <w:p>
      <w:pPr>
        <w:spacing w:line="360" w:lineRule="auto"/>
        <w:rPr>
          <w:sz w:val="24"/>
        </w:rPr>
      </w:pPr>
    </w:p>
    <w:p>
      <w:pPr>
        <w:widowControl/>
        <w:shd w:val="clear" w:color="auto" w:fill="FFFFFF"/>
        <w:spacing w:line="420" w:lineRule="atLeast"/>
        <w:jc w:val="left"/>
        <w:rPr>
          <w:rFonts w:ascii="Cambria" w:hAnsi="Cambria"/>
          <w:b/>
          <w:bCs/>
          <w:sz w:val="32"/>
          <w:szCs w:val="32"/>
        </w:rPr>
      </w:pPr>
      <w:r>
        <w:rPr>
          <w:rFonts w:ascii="Cambria" w:hAnsi="Cambria"/>
          <w:b/>
          <w:bCs/>
          <w:sz w:val="32"/>
          <w:szCs w:val="32"/>
        </w:rPr>
        <w:t>职业规划：</w:t>
      </w:r>
    </w:p>
    <w:p>
      <w:pPr>
        <w:widowControl/>
        <w:shd w:val="clear" w:color="auto" w:fill="FFFFFF"/>
        <w:spacing w:line="420" w:lineRule="atLeast"/>
        <w:ind w:firstLine="500"/>
        <w:jc w:val="left"/>
        <w:rPr>
          <w:rFonts w:ascii="Verdana" w:hAnsi="Verdana" w:cs="宋体"/>
          <w:spacing w:val="16"/>
          <w:kern w:val="0"/>
          <w:szCs w:val="21"/>
        </w:rPr>
      </w:pPr>
      <w:r>
        <w:rPr>
          <w:rFonts w:hint="eastAsia" w:ascii="Verdana" w:hAnsi="Verdana" w:cs="宋体"/>
          <w:spacing w:val="16"/>
          <w:kern w:val="0"/>
          <w:szCs w:val="21"/>
        </w:rPr>
        <w:t>1</w:t>
      </w:r>
      <w:r>
        <w:rPr>
          <w:rFonts w:ascii="Verdana" w:hAnsi="Verdana" w:cs="宋体"/>
          <w:spacing w:val="16"/>
          <w:kern w:val="0"/>
          <w:szCs w:val="21"/>
        </w:rPr>
        <w:t>.管理层：组长--经理--总监（见习中级</w:t>
      </w:r>
      <w:r>
        <w:rPr>
          <w:rFonts w:hint="eastAsia" w:ascii="Verdana" w:hAnsi="Verdana" w:cs="宋体"/>
          <w:spacing w:val="16"/>
          <w:kern w:val="0"/>
          <w:szCs w:val="21"/>
        </w:rPr>
        <w:t>即有机会</w:t>
      </w:r>
      <w:r>
        <w:rPr>
          <w:rFonts w:ascii="Verdana" w:hAnsi="Verdana" w:cs="宋体"/>
          <w:spacing w:val="16"/>
          <w:kern w:val="0"/>
          <w:szCs w:val="21"/>
        </w:rPr>
        <w:t>晋升组长、经理）</w:t>
      </w:r>
    </w:p>
    <w:p>
      <w:pPr>
        <w:widowControl/>
        <w:shd w:val="clear" w:color="auto" w:fill="FFFFFF"/>
        <w:spacing w:line="420" w:lineRule="atLeast"/>
        <w:ind w:firstLine="500"/>
        <w:jc w:val="left"/>
        <w:rPr>
          <w:rFonts w:ascii="Verdana" w:hAnsi="Verdana" w:cs="宋体"/>
          <w:spacing w:val="16"/>
          <w:kern w:val="0"/>
          <w:szCs w:val="21"/>
        </w:rPr>
      </w:pPr>
      <w:r>
        <w:rPr>
          <w:rFonts w:hint="eastAsia" w:ascii="Verdana" w:hAnsi="Verdana" w:cs="宋体"/>
          <w:spacing w:val="16"/>
          <w:kern w:val="0"/>
          <w:szCs w:val="21"/>
        </w:rPr>
        <w:t>2</w:t>
      </w:r>
      <w:r>
        <w:rPr>
          <w:rFonts w:ascii="Verdana" w:hAnsi="Verdana" w:cs="宋体"/>
          <w:spacing w:val="16"/>
          <w:kern w:val="0"/>
          <w:szCs w:val="21"/>
        </w:rPr>
        <w:t>.其它岗位：可从公司不定期发布的内部招聘职位信息中选择自己期望转型的职位，内聘招聘。如培训讲师、人事行政部、合规部、客户服务部、产品策划部等其他岗位。</w:t>
      </w:r>
    </w:p>
    <w:p>
      <w:pPr>
        <w:widowControl/>
        <w:shd w:val="clear" w:color="auto" w:fill="FFFFFF"/>
        <w:spacing w:line="420" w:lineRule="atLeast"/>
        <w:jc w:val="left"/>
        <w:rPr>
          <w:rFonts w:ascii="Verdana" w:hAnsi="Verdana" w:cs="宋体"/>
          <w:spacing w:val="16"/>
          <w:kern w:val="0"/>
          <w:szCs w:val="21"/>
        </w:rPr>
      </w:pPr>
      <w:r>
        <w:rPr>
          <w:rFonts w:ascii="Verdana" w:hAnsi="Verdana" w:cs="宋体"/>
          <w:spacing w:val="16"/>
          <w:kern w:val="0"/>
          <w:szCs w:val="21"/>
        </w:rPr>
        <w:t>（公司选拔机制：看个人能力，晋升模式公平公开公正，凭数据说话，本事、能力，不用凭关系，最适合没有背景的人去拼搏的）</w:t>
      </w:r>
    </w:p>
    <w:p>
      <w:pPr>
        <w:widowControl/>
        <w:shd w:val="clear" w:color="auto" w:fill="FFFFFF"/>
        <w:spacing w:line="420" w:lineRule="atLeast"/>
        <w:jc w:val="left"/>
        <w:rPr>
          <w:rFonts w:ascii="Arial" w:hAnsi="Arial" w:cs="Arial"/>
          <w:color w:val="282828"/>
          <w:kern w:val="0"/>
          <w:szCs w:val="21"/>
        </w:rPr>
      </w:pPr>
    </w:p>
    <w:p>
      <w:pPr>
        <w:widowControl/>
        <w:shd w:val="clear" w:color="auto" w:fill="FFFFFF"/>
        <w:spacing w:line="420" w:lineRule="atLeast"/>
        <w:jc w:val="left"/>
        <w:rPr>
          <w:rFonts w:ascii="Arial" w:hAnsi="Arial" w:cs="Arial"/>
          <w:b/>
          <w:color w:val="282828"/>
          <w:kern w:val="0"/>
          <w:sz w:val="32"/>
          <w:szCs w:val="21"/>
        </w:rPr>
      </w:pPr>
      <w:r>
        <w:rPr>
          <w:rFonts w:hint="eastAsia" w:ascii="Arial" w:hAnsi="Arial" w:cs="Arial"/>
          <w:b/>
          <w:color w:val="282828"/>
          <w:kern w:val="0"/>
          <w:sz w:val="32"/>
          <w:szCs w:val="21"/>
        </w:rPr>
        <w:t>岗位要求：</w:t>
      </w:r>
    </w:p>
    <w:p>
      <w:pPr>
        <w:pStyle w:val="25"/>
        <w:widowControl/>
        <w:numPr>
          <w:ilvl w:val="0"/>
          <w:numId w:val="2"/>
        </w:numPr>
        <w:shd w:val="clear" w:color="auto" w:fill="FFFFFF"/>
        <w:spacing w:line="420" w:lineRule="atLeast"/>
        <w:ind w:firstLineChars="0"/>
        <w:jc w:val="left"/>
        <w:rPr>
          <w:rFonts w:ascii="Arial" w:hAnsi="Arial" w:cs="Arial"/>
          <w:color w:val="282828"/>
          <w:kern w:val="0"/>
          <w:szCs w:val="21"/>
        </w:rPr>
      </w:pPr>
      <w:r>
        <w:rPr>
          <w:rFonts w:ascii="Arial" w:hAnsi="Arial" w:cs="Arial"/>
          <w:color w:val="282828"/>
          <w:kern w:val="0"/>
          <w:szCs w:val="21"/>
        </w:rPr>
        <w:t>18-28</w:t>
      </w:r>
      <w:r>
        <w:rPr>
          <w:rFonts w:hint="eastAsia" w:ascii="Arial" w:hAnsi="Arial" w:cs="Arial"/>
          <w:color w:val="282828"/>
          <w:kern w:val="0"/>
          <w:szCs w:val="21"/>
        </w:rPr>
        <w:t>周岁；大专以上学历；</w:t>
      </w:r>
    </w:p>
    <w:p>
      <w:pPr>
        <w:widowControl/>
        <w:numPr>
          <w:ilvl w:val="0"/>
          <w:numId w:val="2"/>
        </w:numPr>
        <w:shd w:val="clear" w:color="auto" w:fill="FFFFFF"/>
        <w:spacing w:line="420" w:lineRule="atLeast"/>
        <w:jc w:val="left"/>
        <w:rPr>
          <w:rFonts w:ascii="Arial" w:hAnsi="Arial" w:cs="Arial"/>
          <w:color w:val="282828"/>
          <w:kern w:val="0"/>
          <w:szCs w:val="21"/>
        </w:rPr>
      </w:pPr>
      <w:r>
        <w:rPr>
          <w:rFonts w:hint="eastAsia" w:ascii="Arial" w:hAnsi="Arial" w:cs="Arial"/>
          <w:color w:val="282828"/>
          <w:kern w:val="0"/>
          <w:szCs w:val="21"/>
        </w:rPr>
        <w:t>有志于金融行业长远发展，良好的沟通能力，很好的亲和力和较强的人际交往</w:t>
      </w:r>
    </w:p>
    <w:p>
      <w:pPr>
        <w:widowControl/>
        <w:shd w:val="clear" w:color="auto" w:fill="FFFFFF"/>
        <w:spacing w:line="420" w:lineRule="atLeast"/>
        <w:jc w:val="left"/>
        <w:rPr>
          <w:rFonts w:ascii="Arial" w:hAnsi="Arial" w:cs="Arial"/>
          <w:color w:val="282828"/>
          <w:kern w:val="0"/>
          <w:szCs w:val="21"/>
        </w:rPr>
      </w:pPr>
      <w:r>
        <w:rPr>
          <w:rFonts w:hint="eastAsia" w:ascii="Arial" w:hAnsi="Arial" w:cs="Arial"/>
          <w:color w:val="282828"/>
          <w:kern w:val="0"/>
          <w:szCs w:val="21"/>
        </w:rPr>
        <w:t>能力，负责任、敢担当，事业心强</w:t>
      </w:r>
      <w:r>
        <w:rPr>
          <w:rFonts w:ascii="Arial" w:hAnsi="Arial" w:cs="Arial"/>
          <w:color w:val="282828"/>
          <w:kern w:val="0"/>
          <w:szCs w:val="21"/>
        </w:rPr>
        <w:t xml:space="preserve">. </w:t>
      </w:r>
    </w:p>
    <w:p>
      <w:pPr>
        <w:widowControl/>
        <w:shd w:val="clear" w:color="auto" w:fill="FFFFFF"/>
        <w:spacing w:line="420" w:lineRule="atLeast"/>
        <w:ind w:firstLine="420" w:firstLineChars="200"/>
        <w:jc w:val="left"/>
        <w:rPr>
          <w:rFonts w:ascii="Arial" w:hAnsi="Arial" w:cs="Arial"/>
          <w:color w:val="282828"/>
          <w:kern w:val="0"/>
          <w:szCs w:val="21"/>
        </w:rPr>
      </w:pPr>
      <w:r>
        <w:rPr>
          <w:rFonts w:hint="eastAsia" w:ascii="Arial" w:hAnsi="Arial" w:cs="Arial"/>
          <w:color w:val="282828"/>
          <w:kern w:val="0"/>
          <w:szCs w:val="21"/>
        </w:rPr>
        <w:t>3、在校期间担任过学生干部或有大型校园活动组织经验者优先，具有丰富的社 会实践经验者优先</w:t>
      </w:r>
    </w:p>
    <w:p>
      <w:pPr>
        <w:widowControl/>
        <w:shd w:val="clear" w:color="auto" w:fill="FFFFFF"/>
        <w:spacing w:line="420" w:lineRule="atLeast"/>
        <w:jc w:val="left"/>
        <w:rPr>
          <w:rFonts w:ascii="Arial" w:hAnsi="Arial" w:cs="Arial"/>
          <w:b/>
          <w:color w:val="282828"/>
          <w:kern w:val="0"/>
          <w:sz w:val="32"/>
          <w:szCs w:val="21"/>
        </w:rPr>
      </w:pPr>
    </w:p>
    <w:p>
      <w:pPr>
        <w:widowControl/>
        <w:shd w:val="clear" w:color="auto" w:fill="FFFFFF"/>
        <w:spacing w:line="420" w:lineRule="atLeast"/>
        <w:jc w:val="left"/>
        <w:rPr>
          <w:rFonts w:ascii="Arial" w:hAnsi="Arial" w:cs="Arial"/>
          <w:color w:val="282828"/>
          <w:kern w:val="0"/>
          <w:szCs w:val="21"/>
        </w:rPr>
      </w:pPr>
    </w:p>
    <w:p>
      <w:pPr>
        <w:widowControl/>
        <w:shd w:val="clear" w:color="auto" w:fill="FFFFFF"/>
        <w:spacing w:line="420" w:lineRule="atLeast"/>
        <w:jc w:val="left"/>
        <w:rPr>
          <w:rFonts w:ascii="Cambria" w:hAnsi="Cambria"/>
          <w:b/>
          <w:bCs/>
          <w:sz w:val="32"/>
          <w:szCs w:val="32"/>
        </w:rPr>
      </w:pPr>
      <w:r>
        <w:rPr>
          <w:rFonts w:ascii="Cambria" w:hAnsi="Cambria"/>
          <w:b/>
          <w:bCs/>
          <w:sz w:val="32"/>
          <w:szCs w:val="32"/>
        </w:rPr>
        <w:t>入职指南：</w:t>
      </w:r>
    </w:p>
    <w:p>
      <w:pPr>
        <w:widowControl/>
        <w:spacing w:line="420" w:lineRule="atLeast"/>
        <w:ind w:left="210" w:leftChars="100"/>
        <w:jc w:val="left"/>
        <w:rPr>
          <w:rFonts w:ascii="Verdana" w:hAnsi="Verdana" w:cs="宋体"/>
          <w:spacing w:val="16"/>
          <w:kern w:val="0"/>
          <w:szCs w:val="21"/>
        </w:rPr>
      </w:pPr>
      <w:r>
        <w:rPr>
          <w:rFonts w:ascii="Verdana" w:hAnsi="Verdana" w:cs="宋体"/>
          <w:spacing w:val="16"/>
          <w:kern w:val="0"/>
          <w:szCs w:val="21"/>
        </w:rPr>
        <w:t>1、零起点培训：对于没有金融知识的新人，公司提供系统化、专业化的岗前系统培训，让简单快速熟悉公司业务</w:t>
      </w:r>
    </w:p>
    <w:p>
      <w:pPr>
        <w:widowControl/>
        <w:spacing w:line="420" w:lineRule="atLeast"/>
        <w:ind w:left="210" w:leftChars="100"/>
        <w:jc w:val="left"/>
        <w:rPr>
          <w:rFonts w:ascii="Verdana" w:hAnsi="Verdana" w:cs="宋体"/>
          <w:spacing w:val="16"/>
          <w:kern w:val="0"/>
          <w:szCs w:val="21"/>
        </w:rPr>
      </w:pPr>
      <w:r>
        <w:rPr>
          <w:rFonts w:ascii="Verdana" w:hAnsi="Verdana" w:cs="宋体"/>
          <w:spacing w:val="16"/>
          <w:kern w:val="0"/>
          <w:szCs w:val="21"/>
        </w:rPr>
        <w:t>2、全方位工作关怀：公司各个部门会对新人提供资源、销售技能等培训，并且不定期举办岗中培训，实战培训，起步阶段由经理带领，师傅辅助的一对一成长关注，让</w:t>
      </w:r>
      <w:r>
        <w:rPr>
          <w:rFonts w:hint="eastAsia" w:ascii="Verdana" w:hAnsi="Verdana" w:cs="宋体"/>
          <w:spacing w:val="16"/>
          <w:kern w:val="0"/>
          <w:szCs w:val="21"/>
        </w:rPr>
        <w:t>成交</w:t>
      </w:r>
      <w:r>
        <w:rPr>
          <w:rFonts w:ascii="Verdana" w:hAnsi="Verdana" w:cs="宋体"/>
          <w:spacing w:val="16"/>
          <w:kern w:val="0"/>
          <w:szCs w:val="21"/>
        </w:rPr>
        <w:t>更加简单！</w:t>
      </w:r>
    </w:p>
    <w:p>
      <w:pPr>
        <w:widowControl/>
        <w:spacing w:line="420" w:lineRule="atLeast"/>
        <w:ind w:left="210" w:leftChars="100"/>
        <w:jc w:val="left"/>
        <w:rPr>
          <w:rFonts w:ascii="Verdana" w:hAnsi="Verdana" w:cs="宋体"/>
          <w:spacing w:val="16"/>
          <w:kern w:val="0"/>
          <w:szCs w:val="21"/>
        </w:rPr>
      </w:pPr>
      <w:r>
        <w:rPr>
          <w:rFonts w:ascii="Verdana" w:hAnsi="Verdana" w:cs="宋体"/>
          <w:spacing w:val="16"/>
          <w:kern w:val="0"/>
          <w:szCs w:val="21"/>
        </w:rPr>
        <w:t>3、公司供给资源和销售流程，公司业务上手快，公司有统一的标准流程化模式，提供</w:t>
      </w:r>
      <w:r>
        <w:rPr>
          <w:rFonts w:hint="eastAsia" w:ascii="Verdana" w:hAnsi="Verdana" w:cs="宋体"/>
          <w:spacing w:val="16"/>
          <w:kern w:val="0"/>
          <w:szCs w:val="21"/>
        </w:rPr>
        <w:t>精准</w:t>
      </w:r>
      <w:r>
        <w:rPr>
          <w:rFonts w:ascii="Verdana" w:hAnsi="Verdana" w:cs="宋体"/>
          <w:spacing w:val="16"/>
          <w:kern w:val="0"/>
          <w:szCs w:val="21"/>
        </w:rPr>
        <w:t>客户资源，且都是具有意向的客户！</w:t>
      </w:r>
    </w:p>
    <w:p>
      <w:pPr>
        <w:widowControl/>
        <w:spacing w:line="420" w:lineRule="atLeast"/>
        <w:jc w:val="left"/>
        <w:rPr>
          <w:rFonts w:ascii="Verdana" w:hAnsi="Verdana" w:cs="宋体"/>
          <w:spacing w:val="16"/>
          <w:kern w:val="0"/>
          <w:szCs w:val="21"/>
        </w:rPr>
      </w:pPr>
      <w:r>
        <w:rPr>
          <w:rFonts w:ascii="Verdana" w:hAnsi="Verdana" w:cs="宋体"/>
          <w:spacing w:val="16"/>
          <w:kern w:val="0"/>
          <w:szCs w:val="21"/>
        </w:rPr>
        <w:t>4、借力用力不费力！公司定期策划营销活动，配合员工进行营销工作；</w:t>
      </w:r>
    </w:p>
    <w:p>
      <w:pPr>
        <w:widowControl/>
        <w:spacing w:line="420" w:lineRule="atLeast"/>
        <w:jc w:val="left"/>
        <w:rPr>
          <w:rFonts w:ascii="Arial" w:hAnsi="Arial" w:cs="Arial"/>
          <w:color w:val="282828"/>
          <w:kern w:val="0"/>
          <w:szCs w:val="21"/>
        </w:rPr>
      </w:pPr>
    </w:p>
    <w:p>
      <w:pPr>
        <w:widowControl/>
        <w:spacing w:line="420" w:lineRule="atLeast"/>
        <w:jc w:val="left"/>
        <w:rPr>
          <w:rFonts w:ascii="Arial" w:hAnsi="Arial" w:cs="Arial"/>
          <w:color w:val="282828"/>
          <w:kern w:val="0"/>
          <w:szCs w:val="21"/>
        </w:rPr>
      </w:pPr>
    </w:p>
    <w:p>
      <w:pPr>
        <w:pStyle w:val="2"/>
        <w:rPr>
          <w:bCs w:val="0"/>
        </w:rPr>
      </w:pPr>
      <w:r>
        <w:rPr>
          <w:rFonts w:hint="eastAsia"/>
          <w:bCs w:val="0"/>
        </w:rPr>
        <w:t>联系方式</w:t>
      </w:r>
    </w:p>
    <w:p>
      <w:pPr>
        <w:pStyle w:val="2"/>
        <w:rPr>
          <w:rFonts w:ascii="宋体" w:hAnsi="宋体"/>
          <w:sz w:val="24"/>
        </w:rPr>
      </w:pPr>
      <w:r>
        <w:rPr>
          <w:rFonts w:hint="eastAsia" w:ascii="宋体" w:hAnsi="宋体"/>
          <w:sz w:val="24"/>
        </w:rPr>
        <w:t>公司官网：</w:t>
      </w:r>
      <w:r>
        <w:fldChar w:fldCharType="begin"/>
      </w:r>
      <w:r>
        <w:instrText xml:space="preserve"> HYPERLINK "http://www.compass.cn/" </w:instrText>
      </w:r>
      <w:r>
        <w:fldChar w:fldCharType="separate"/>
      </w:r>
      <w:r>
        <w:rPr>
          <w:rStyle w:val="14"/>
          <w:rFonts w:ascii="宋体" w:hAnsi="宋体"/>
          <w:sz w:val="24"/>
        </w:rPr>
        <w:t>http://www.compass.cn/</w:t>
      </w:r>
      <w:r>
        <w:rPr>
          <w:rStyle w:val="14"/>
          <w:rFonts w:ascii="宋体" w:hAnsi="宋体"/>
          <w:sz w:val="24"/>
        </w:rPr>
        <w:fldChar w:fldCharType="end"/>
      </w:r>
    </w:p>
    <w:p>
      <w:pPr>
        <w:rPr>
          <w:rFonts w:ascii="宋体" w:hAnsi="宋体" w:cs="宋体"/>
          <w:kern w:val="0"/>
          <w:szCs w:val="21"/>
        </w:rPr>
      </w:pPr>
      <w:r>
        <w:rPr>
          <w:rFonts w:hint="eastAsia" w:ascii="Verdana" w:hAnsi="Verdana" w:cs="宋体"/>
          <w:spacing w:val="16"/>
          <w:kern w:val="0"/>
          <w:szCs w:val="21"/>
        </w:rPr>
        <w:t>联系人：</w:t>
      </w:r>
      <w:r>
        <w:rPr>
          <w:rFonts w:hint="eastAsia" w:ascii="Verdana" w:hAnsi="Verdana" w:cs="宋体"/>
          <w:spacing w:val="16"/>
          <w:kern w:val="0"/>
          <w:szCs w:val="21"/>
          <w:lang w:val="en-US" w:eastAsia="zh-CN"/>
        </w:rPr>
        <w:t>侯</w:t>
      </w:r>
      <w:r>
        <w:rPr>
          <w:rFonts w:hint="eastAsia" w:ascii="Verdana" w:hAnsi="Verdana" w:cs="宋体"/>
          <w:spacing w:val="16"/>
          <w:kern w:val="0"/>
          <w:szCs w:val="21"/>
        </w:rPr>
        <w:t>经理 电话</w:t>
      </w:r>
      <w:r>
        <w:rPr>
          <w:rFonts w:hint="eastAsia" w:ascii="宋体" w:hAnsi="宋体" w:cs="宋体"/>
          <w:kern w:val="0"/>
          <w:sz w:val="30"/>
          <w:szCs w:val="30"/>
          <w:lang w:val="en-US" w:eastAsia="zh-CN"/>
        </w:rPr>
        <w:t>15875772648</w:t>
      </w:r>
      <w:r>
        <w:rPr>
          <w:rFonts w:hint="eastAsia" w:ascii="宋体" w:hAnsi="宋体" w:cs="宋体"/>
          <w:kern w:val="0"/>
          <w:sz w:val="30"/>
          <w:szCs w:val="30"/>
        </w:rPr>
        <w:t xml:space="preserve"> </w:t>
      </w:r>
    </w:p>
    <w:p>
      <w:pPr>
        <w:widowControl/>
        <w:spacing w:line="420" w:lineRule="atLeast"/>
        <w:jc w:val="left"/>
        <w:rPr>
          <w:rFonts w:ascii="Verdana" w:hAnsi="Verdana" w:cs="宋体"/>
          <w:spacing w:val="16"/>
          <w:kern w:val="0"/>
          <w:szCs w:val="21"/>
        </w:rPr>
      </w:pPr>
      <w:r>
        <w:rPr>
          <w:rFonts w:hint="eastAsia" w:ascii="Verdana" w:hAnsi="Verdana" w:cs="宋体"/>
          <w:spacing w:val="16"/>
          <w:kern w:val="0"/>
          <w:szCs w:val="21"/>
        </w:rPr>
        <w:t>邮箱：</w:t>
      </w:r>
      <w:r>
        <w:fldChar w:fldCharType="begin"/>
      </w:r>
      <w:r>
        <w:instrText xml:space="preserve"> HYPERLINK "mailto:594089366@qq.com" </w:instrText>
      </w:r>
      <w:r>
        <w:fldChar w:fldCharType="separate"/>
      </w:r>
      <w:r>
        <w:t xml:space="preserve"> </w:t>
      </w:r>
      <w:r>
        <w:rPr>
          <w:rStyle w:val="14"/>
          <w:rFonts w:hint="eastAsia" w:ascii="Verdana" w:hAnsi="Verdana" w:cs="宋体"/>
          <w:spacing w:val="16"/>
          <w:kern w:val="0"/>
          <w:szCs w:val="21"/>
          <w:lang w:val="en-US" w:eastAsia="zh-CN"/>
        </w:rPr>
        <w:t>865519017</w:t>
      </w:r>
      <w:r>
        <w:rPr>
          <w:rStyle w:val="14"/>
          <w:rFonts w:hint="eastAsia" w:ascii="Verdana" w:hAnsi="Verdana" w:cs="宋体"/>
          <w:spacing w:val="16"/>
          <w:kern w:val="0"/>
          <w:szCs w:val="21"/>
        </w:rPr>
        <w:t>@qq.com</w:t>
      </w:r>
      <w:r>
        <w:rPr>
          <w:rStyle w:val="14"/>
          <w:rFonts w:hint="eastAsia" w:ascii="Verdana" w:hAnsi="Verdana" w:cs="宋体"/>
          <w:spacing w:val="16"/>
          <w:kern w:val="0"/>
          <w:szCs w:val="21"/>
        </w:rPr>
        <w:fldChar w:fldCharType="end"/>
      </w:r>
    </w:p>
    <w:p>
      <w:pPr>
        <w:spacing w:line="360" w:lineRule="auto"/>
        <w:rPr>
          <w:rFonts w:ascii="宋体" w:hAnsi="宋体"/>
          <w:szCs w:val="21"/>
        </w:rPr>
      </w:pPr>
      <w:r>
        <w:rPr>
          <w:rFonts w:hint="eastAsia" w:ascii="Verdana" w:hAnsi="Verdana" w:cs="宋体"/>
          <w:spacing w:val="16"/>
          <w:kern w:val="0"/>
          <w:szCs w:val="21"/>
        </w:rPr>
        <w:t>公司地址：</w:t>
      </w:r>
      <w:r>
        <w:rPr>
          <w:rFonts w:ascii="Arial" w:hAnsi="Arial" w:cs="Arial"/>
          <w:color w:val="000000"/>
          <w:sz w:val="18"/>
          <w:szCs w:val="16"/>
          <w:shd w:val="clear" w:color="auto" w:fill="FFFFFF"/>
        </w:rPr>
        <w:t>广东省佛山市南海金融高新区融通路22号智富大厦</w:t>
      </w:r>
      <w:r>
        <w:rPr>
          <w:rFonts w:hint="eastAsia" w:ascii="Arial" w:hAnsi="Arial" w:cs="Arial"/>
          <w:color w:val="000000"/>
          <w:sz w:val="18"/>
          <w:szCs w:val="16"/>
          <w:shd w:val="clear" w:color="auto" w:fill="FFFFFF"/>
        </w:rPr>
        <w:t>副楼</w:t>
      </w:r>
    </w:p>
    <w:p>
      <w:pPr>
        <w:spacing w:line="360" w:lineRule="auto"/>
        <w:rPr>
          <w:rFonts w:ascii="宋体" w:hAnsi="宋体"/>
          <w:szCs w:val="21"/>
        </w:rPr>
      </w:pPr>
      <w:r>
        <w:rPr>
          <w:rFonts w:hint="eastAsia" w:ascii="宋体" w:hAnsi="宋体"/>
          <w:szCs w:val="21"/>
        </w:rPr>
        <w:t>附近地铁：广佛线金融高新区站 B出口 荣耀国际 方向直走约10分钟</w:t>
      </w:r>
    </w:p>
    <w:p>
      <w:pPr>
        <w:spacing w:line="360" w:lineRule="auto"/>
        <w:rPr>
          <w:rFonts w:ascii="宋体" w:hAnsi="宋体"/>
          <w:szCs w:val="21"/>
        </w:rPr>
      </w:pPr>
      <w:r>
        <w:rPr>
          <w:rFonts w:hint="eastAsia" w:ascii="宋体" w:hAnsi="宋体"/>
          <w:szCs w:val="21"/>
        </w:rPr>
        <w:t>驾车路线：高德、百度地图导航“</w:t>
      </w:r>
      <w:r>
        <w:rPr>
          <w:rFonts w:hint="eastAsia" w:ascii="宋体" w:hAnsi="宋体"/>
          <w:szCs w:val="21"/>
          <w:lang w:val="en-US" w:eastAsia="zh-CN"/>
        </w:rPr>
        <w:t>广东</w:t>
      </w:r>
      <w:r>
        <w:rPr>
          <w:rFonts w:hint="eastAsia" w:ascii="宋体" w:hAnsi="宋体"/>
          <w:szCs w:val="21"/>
        </w:rPr>
        <w:t>指南针”即可</w:t>
      </w:r>
    </w:p>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w:t>
    </w:r>
    <w:r>
      <w:rPr>
        <w:rFonts w:hint="eastAsia"/>
        <w:b/>
        <w:lang w:val="zh-CN"/>
      </w:rPr>
      <w:t>5</w:t>
    </w:r>
    <w:r>
      <w:rPr>
        <w:lang w:val="zh-CN"/>
      </w:rPr>
      <w:t xml:space="preserve"> </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8536" w:type="dxa"/>
      <w:tblInd w:w="0" w:type="dxa"/>
      <w:tblLayout w:type="fixed"/>
      <w:tblCellMar>
        <w:top w:w="58" w:type="dxa"/>
        <w:left w:w="115" w:type="dxa"/>
        <w:bottom w:w="58" w:type="dxa"/>
        <w:right w:w="115" w:type="dxa"/>
      </w:tblCellMar>
    </w:tblPr>
    <w:tblGrid>
      <w:gridCol w:w="1486"/>
      <w:gridCol w:w="7050"/>
    </w:tblGrid>
    <w:tr>
      <w:tblPrEx>
        <w:tblCellMar>
          <w:top w:w="58" w:type="dxa"/>
          <w:left w:w="115" w:type="dxa"/>
          <w:bottom w:w="58" w:type="dxa"/>
          <w:right w:w="115" w:type="dxa"/>
        </w:tblCellMar>
      </w:tblPrEx>
      <w:tc>
        <w:tcPr>
          <w:tcW w:w="1486" w:type="dxa"/>
          <w:tcBorders>
            <w:right w:val="single" w:color="4F81BD" w:sz="18" w:space="0"/>
          </w:tcBorders>
        </w:tcPr>
        <w:p>
          <w:pPr>
            <w:pStyle w:val="7"/>
            <w:jc w:val="left"/>
            <w:rPr>
              <w:rFonts w:ascii="Calibri" w:hAnsi="Calibri"/>
              <w:kern w:val="2"/>
            </w:rPr>
          </w:pPr>
          <w:r>
            <w:rPr>
              <w:rFonts w:ascii="Calibri" w:hAnsi="Calibri"/>
              <w:kern w:val="2"/>
            </w:rPr>
            <w:drawing>
              <wp:inline distT="0" distB="0" distL="0" distR="0">
                <wp:extent cx="797560" cy="328930"/>
                <wp:effectExtent l="1905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rcRect/>
                        <a:stretch>
                          <a:fillRect/>
                        </a:stretch>
                      </pic:blipFill>
                      <pic:spPr>
                        <a:xfrm>
                          <a:off x="0" y="0"/>
                          <a:ext cx="797560" cy="328930"/>
                        </a:xfrm>
                        <a:prstGeom prst="rect">
                          <a:avLst/>
                        </a:prstGeom>
                        <a:noFill/>
                        <a:ln w="9525">
                          <a:noFill/>
                          <a:miter lim="800000"/>
                          <a:headEnd/>
                          <a:tailEnd/>
                        </a:ln>
                      </pic:spPr>
                    </pic:pic>
                  </a:graphicData>
                </a:graphic>
              </wp:inline>
            </w:drawing>
          </w:r>
        </w:p>
      </w:tc>
      <w:tc>
        <w:tcPr>
          <w:tcW w:w="7050" w:type="dxa"/>
          <w:tcBorders>
            <w:left w:val="single" w:color="4F81BD" w:sz="18" w:space="0"/>
          </w:tcBorders>
        </w:tcPr>
        <w:p>
          <w:pPr>
            <w:pStyle w:val="7"/>
            <w:rPr>
              <w:rFonts w:ascii="Cambria" w:hAnsi="Cambria"/>
              <w:color w:val="4F81BD"/>
              <w:kern w:val="2"/>
              <w:sz w:val="24"/>
              <w:szCs w:val="24"/>
            </w:rPr>
          </w:pPr>
          <w:r>
            <w:rPr>
              <w:rFonts w:hint="eastAsia" w:ascii="Cambria" w:hAnsi="Cambria"/>
              <w:kern w:val="2"/>
              <w:sz w:val="24"/>
              <w:szCs w:val="24"/>
            </w:rPr>
            <w:t>北京指南针科技发展股份有限公司招生简章</w:t>
          </w:r>
        </w:p>
      </w:tc>
    </w:tr>
  </w:tbl>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772B0"/>
    <w:multiLevelType w:val="multilevel"/>
    <w:tmpl w:val="1AC772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9A77329"/>
    <w:multiLevelType w:val="multilevel"/>
    <w:tmpl w:val="69A77329"/>
    <w:lvl w:ilvl="0" w:tentative="0">
      <w:start w:val="1"/>
      <w:numFmt w:val="decimal"/>
      <w:lvlText w:val="%1、"/>
      <w:lvlJc w:val="left"/>
      <w:pPr>
        <w:tabs>
          <w:tab w:val="left" w:pos="720"/>
        </w:tabs>
        <w:ind w:left="720" w:hanging="360"/>
      </w:pPr>
      <w:rPr>
        <w:rFonts w:ascii="Arial" w:hAnsi="Arial" w:eastAsia="宋体" w:cs="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I3OTNkNjQ3YThkM2VkNWFmNWIzMWE5ZGNjZjQ0NWMifQ=="/>
  </w:docVars>
  <w:rsids>
    <w:rsidRoot w:val="00701E0D"/>
    <w:rsid w:val="00024E70"/>
    <w:rsid w:val="00071FD0"/>
    <w:rsid w:val="00087BFB"/>
    <w:rsid w:val="000A294A"/>
    <w:rsid w:val="000A7F0B"/>
    <w:rsid w:val="000C1D24"/>
    <w:rsid w:val="000F6741"/>
    <w:rsid w:val="0011319C"/>
    <w:rsid w:val="00116E00"/>
    <w:rsid w:val="0017385E"/>
    <w:rsid w:val="00192794"/>
    <w:rsid w:val="001B68D5"/>
    <w:rsid w:val="001F5D37"/>
    <w:rsid w:val="00204E6E"/>
    <w:rsid w:val="00215ACF"/>
    <w:rsid w:val="0022197F"/>
    <w:rsid w:val="00221BD1"/>
    <w:rsid w:val="00223E9D"/>
    <w:rsid w:val="0023406B"/>
    <w:rsid w:val="00237846"/>
    <w:rsid w:val="00252E34"/>
    <w:rsid w:val="00254C4B"/>
    <w:rsid w:val="002817AE"/>
    <w:rsid w:val="00287253"/>
    <w:rsid w:val="002B4A47"/>
    <w:rsid w:val="002C037C"/>
    <w:rsid w:val="003771E4"/>
    <w:rsid w:val="003A198A"/>
    <w:rsid w:val="003A3182"/>
    <w:rsid w:val="003D21D3"/>
    <w:rsid w:val="003E2A3E"/>
    <w:rsid w:val="00404DA1"/>
    <w:rsid w:val="00433DE6"/>
    <w:rsid w:val="00454771"/>
    <w:rsid w:val="00455246"/>
    <w:rsid w:val="00463177"/>
    <w:rsid w:val="00477237"/>
    <w:rsid w:val="004A3304"/>
    <w:rsid w:val="004B6CE6"/>
    <w:rsid w:val="004D5A85"/>
    <w:rsid w:val="00513286"/>
    <w:rsid w:val="0052098B"/>
    <w:rsid w:val="005231C8"/>
    <w:rsid w:val="00596F60"/>
    <w:rsid w:val="005B42C4"/>
    <w:rsid w:val="005D3A23"/>
    <w:rsid w:val="005E319E"/>
    <w:rsid w:val="005F046E"/>
    <w:rsid w:val="006107F1"/>
    <w:rsid w:val="006134DB"/>
    <w:rsid w:val="00685836"/>
    <w:rsid w:val="00696AE3"/>
    <w:rsid w:val="006B5DA4"/>
    <w:rsid w:val="006B7587"/>
    <w:rsid w:val="006C1D46"/>
    <w:rsid w:val="006D35BF"/>
    <w:rsid w:val="006E4432"/>
    <w:rsid w:val="006F6278"/>
    <w:rsid w:val="00701E0D"/>
    <w:rsid w:val="00722529"/>
    <w:rsid w:val="0075000B"/>
    <w:rsid w:val="007574F5"/>
    <w:rsid w:val="00773CCA"/>
    <w:rsid w:val="00797845"/>
    <w:rsid w:val="007C3D22"/>
    <w:rsid w:val="007C6DB2"/>
    <w:rsid w:val="007D2AB5"/>
    <w:rsid w:val="007D4885"/>
    <w:rsid w:val="00832C32"/>
    <w:rsid w:val="00853CCB"/>
    <w:rsid w:val="00867D0E"/>
    <w:rsid w:val="0087333A"/>
    <w:rsid w:val="008B2598"/>
    <w:rsid w:val="008C205D"/>
    <w:rsid w:val="008C7385"/>
    <w:rsid w:val="008D4E5C"/>
    <w:rsid w:val="0092123C"/>
    <w:rsid w:val="009500AF"/>
    <w:rsid w:val="00962A83"/>
    <w:rsid w:val="00975C5B"/>
    <w:rsid w:val="009B37EF"/>
    <w:rsid w:val="009D0EEA"/>
    <w:rsid w:val="009E7B88"/>
    <w:rsid w:val="00A000D9"/>
    <w:rsid w:val="00A01634"/>
    <w:rsid w:val="00A0363C"/>
    <w:rsid w:val="00A037DC"/>
    <w:rsid w:val="00A1461C"/>
    <w:rsid w:val="00A462D6"/>
    <w:rsid w:val="00A909D9"/>
    <w:rsid w:val="00AA115B"/>
    <w:rsid w:val="00AA19F3"/>
    <w:rsid w:val="00B01BDC"/>
    <w:rsid w:val="00B2647F"/>
    <w:rsid w:val="00B6395E"/>
    <w:rsid w:val="00B657FE"/>
    <w:rsid w:val="00B73BB4"/>
    <w:rsid w:val="00B814B9"/>
    <w:rsid w:val="00B950C3"/>
    <w:rsid w:val="00BA0D5A"/>
    <w:rsid w:val="00BE2E1F"/>
    <w:rsid w:val="00BF3877"/>
    <w:rsid w:val="00C00853"/>
    <w:rsid w:val="00C15A51"/>
    <w:rsid w:val="00C20BF5"/>
    <w:rsid w:val="00C26DFF"/>
    <w:rsid w:val="00C322AF"/>
    <w:rsid w:val="00C63374"/>
    <w:rsid w:val="00CA3D32"/>
    <w:rsid w:val="00CB4AF9"/>
    <w:rsid w:val="00CB6F7C"/>
    <w:rsid w:val="00CE25CC"/>
    <w:rsid w:val="00CE3D03"/>
    <w:rsid w:val="00D0060E"/>
    <w:rsid w:val="00D25E3C"/>
    <w:rsid w:val="00D805FF"/>
    <w:rsid w:val="00DA7D7D"/>
    <w:rsid w:val="00DB08D7"/>
    <w:rsid w:val="00DE2F74"/>
    <w:rsid w:val="00DF4632"/>
    <w:rsid w:val="00E1180D"/>
    <w:rsid w:val="00E60443"/>
    <w:rsid w:val="00E63394"/>
    <w:rsid w:val="00EB0B38"/>
    <w:rsid w:val="00EB2766"/>
    <w:rsid w:val="00ED6FBE"/>
    <w:rsid w:val="00F0788D"/>
    <w:rsid w:val="00F35982"/>
    <w:rsid w:val="00F63E28"/>
    <w:rsid w:val="00F64099"/>
    <w:rsid w:val="00FA6402"/>
    <w:rsid w:val="00FB5431"/>
    <w:rsid w:val="00FD4CAA"/>
    <w:rsid w:val="00FE78B1"/>
    <w:rsid w:val="0126470A"/>
    <w:rsid w:val="04F255AF"/>
    <w:rsid w:val="073D037D"/>
    <w:rsid w:val="079242E3"/>
    <w:rsid w:val="0D562CA4"/>
    <w:rsid w:val="0E241FB8"/>
    <w:rsid w:val="0E4E7AC8"/>
    <w:rsid w:val="1048554B"/>
    <w:rsid w:val="11DD46A4"/>
    <w:rsid w:val="125B35EA"/>
    <w:rsid w:val="12712AEE"/>
    <w:rsid w:val="129F7F98"/>
    <w:rsid w:val="18015549"/>
    <w:rsid w:val="1B515EFE"/>
    <w:rsid w:val="38586BB9"/>
    <w:rsid w:val="3E0507B1"/>
    <w:rsid w:val="3E8671FC"/>
    <w:rsid w:val="434C1691"/>
    <w:rsid w:val="46BE59BE"/>
    <w:rsid w:val="491732D1"/>
    <w:rsid w:val="4AFE1CA2"/>
    <w:rsid w:val="4D422AAE"/>
    <w:rsid w:val="4E6325CE"/>
    <w:rsid w:val="4F842250"/>
    <w:rsid w:val="5A743414"/>
    <w:rsid w:val="5EE426EE"/>
    <w:rsid w:val="629A3F17"/>
    <w:rsid w:val="68BF32FA"/>
    <w:rsid w:val="6FC6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2"/>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6"/>
    <w:semiHidden/>
    <w:unhideWhenUsed/>
    <w:uiPriority w:val="0"/>
    <w:rPr>
      <w:rFonts w:ascii="宋体"/>
      <w:sz w:val="18"/>
      <w:szCs w:val="18"/>
    </w:rPr>
  </w:style>
  <w:style w:type="paragraph" w:styleId="5">
    <w:name w:val="Balloon Text"/>
    <w:basedOn w:val="1"/>
    <w:link w:val="20"/>
    <w:unhideWhenUsed/>
    <w:uiPriority w:val="99"/>
    <w:rPr>
      <w:rFonts w:ascii="Times New Roman" w:hAnsi="Times New Roman"/>
      <w:kern w:val="0"/>
      <w:sz w:val="18"/>
      <w:szCs w:val="18"/>
    </w:rPr>
  </w:style>
  <w:style w:type="paragraph" w:styleId="6">
    <w:name w:val="footer"/>
    <w:basedOn w:val="1"/>
    <w:link w:val="18"/>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8">
    <w:name w:val="HTML Preformatted"/>
    <w:basedOn w:val="1"/>
    <w:link w:val="1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9">
    <w:name w:val="Normal (Web)"/>
    <w:basedOn w:val="1"/>
    <w:unhideWhenUsed/>
    <w:qFormat/>
    <w:uiPriority w:val="99"/>
    <w:pPr>
      <w:widowControl/>
      <w:spacing w:before="100" w:beforeAutospacing="1" w:after="100" w:afterAutospacing="1"/>
      <w:ind w:firstLine="360"/>
      <w:jc w:val="left"/>
    </w:pPr>
    <w:rPr>
      <w:rFonts w:ascii="宋体" w:hAnsi="宋体" w:cs="宋体"/>
      <w:kern w:val="0"/>
      <w:sz w:val="24"/>
      <w:szCs w:val="24"/>
    </w:rPr>
  </w:style>
  <w:style w:type="character" w:styleId="12">
    <w:name w:val="Strong"/>
    <w:qFormat/>
    <w:uiPriority w:val="22"/>
    <w:rPr>
      <w:rFonts w:hint="default" w:ascii="Courier New" w:hAnsi="Courier New" w:cs="Courier New"/>
      <w:b/>
      <w:bCs/>
      <w:sz w:val="24"/>
      <w:szCs w:val="24"/>
    </w:rPr>
  </w:style>
  <w:style w:type="character" w:styleId="13">
    <w:name w:val="FollowedHyperlink"/>
    <w:basedOn w:val="11"/>
    <w:semiHidden/>
    <w:unhideWhenUsed/>
    <w:uiPriority w:val="0"/>
    <w:rPr>
      <w:color w:val="871717"/>
      <w:u w:val="single"/>
    </w:rPr>
  </w:style>
  <w:style w:type="character" w:styleId="14">
    <w:name w:val="Hyperlink"/>
    <w:unhideWhenUsed/>
    <w:qFormat/>
    <w:uiPriority w:val="99"/>
    <w:rPr>
      <w:color w:val="005A84"/>
      <w:u w:val="none"/>
    </w:rPr>
  </w:style>
  <w:style w:type="paragraph" w:customStyle="1" w:styleId="15">
    <w:name w:val="无间隔1"/>
    <w:link w:val="19"/>
    <w:qFormat/>
    <w:uiPriority w:val="1"/>
    <w:rPr>
      <w:rFonts w:ascii="Times New Roman" w:hAnsi="Times New Roman" w:eastAsia="宋体" w:cs="Times New Roman"/>
      <w:sz w:val="22"/>
      <w:lang w:val="en-US" w:eastAsia="zh-CN" w:bidi="ar-SA"/>
    </w:rPr>
  </w:style>
  <w:style w:type="character" w:customStyle="1" w:styleId="16">
    <w:name w:val="HTML 预设格式 Char"/>
    <w:link w:val="8"/>
    <w:semiHidden/>
    <w:qFormat/>
    <w:uiPriority w:val="99"/>
    <w:rPr>
      <w:rFonts w:ascii="宋体" w:hAnsi="宋体" w:eastAsia="宋体" w:cs="宋体"/>
      <w:kern w:val="0"/>
      <w:sz w:val="24"/>
      <w:szCs w:val="24"/>
    </w:rPr>
  </w:style>
  <w:style w:type="character" w:customStyle="1" w:styleId="17">
    <w:name w:val="页眉 Char"/>
    <w:link w:val="7"/>
    <w:qFormat/>
    <w:uiPriority w:val="99"/>
    <w:rPr>
      <w:sz w:val="18"/>
      <w:szCs w:val="18"/>
    </w:rPr>
  </w:style>
  <w:style w:type="character" w:customStyle="1" w:styleId="18">
    <w:name w:val="页脚 Char"/>
    <w:link w:val="6"/>
    <w:qFormat/>
    <w:uiPriority w:val="99"/>
    <w:rPr>
      <w:sz w:val="18"/>
      <w:szCs w:val="18"/>
    </w:rPr>
  </w:style>
  <w:style w:type="character" w:customStyle="1" w:styleId="19">
    <w:name w:val="无间隔 Char"/>
    <w:link w:val="15"/>
    <w:qFormat/>
    <w:uiPriority w:val="1"/>
    <w:rPr>
      <w:sz w:val="22"/>
      <w:lang w:bidi="ar-SA"/>
    </w:rPr>
  </w:style>
  <w:style w:type="character" w:customStyle="1" w:styleId="20">
    <w:name w:val="批注框文本 Char"/>
    <w:link w:val="5"/>
    <w:semiHidden/>
    <w:qFormat/>
    <w:uiPriority w:val="99"/>
    <w:rPr>
      <w:sz w:val="18"/>
      <w:szCs w:val="18"/>
    </w:rPr>
  </w:style>
  <w:style w:type="character" w:customStyle="1" w:styleId="21">
    <w:name w:val="标题 1 Char"/>
    <w:link w:val="2"/>
    <w:qFormat/>
    <w:uiPriority w:val="9"/>
    <w:rPr>
      <w:b/>
      <w:bCs/>
      <w:kern w:val="44"/>
      <w:sz w:val="44"/>
      <w:szCs w:val="44"/>
    </w:rPr>
  </w:style>
  <w:style w:type="character" w:customStyle="1" w:styleId="22">
    <w:name w:val="标题 2 Char"/>
    <w:link w:val="3"/>
    <w:qFormat/>
    <w:uiPriority w:val="9"/>
    <w:rPr>
      <w:rFonts w:ascii="Cambria" w:hAnsi="Cambria" w:eastAsia="宋体" w:cs="Times New Roman"/>
      <w:b/>
      <w:bCs/>
      <w:kern w:val="2"/>
      <w:sz w:val="32"/>
      <w:szCs w:val="32"/>
    </w:rPr>
  </w:style>
  <w:style w:type="paragraph" w:customStyle="1" w:styleId="23">
    <w:name w:val="honor_list"/>
    <w:basedOn w:val="1"/>
    <w:uiPriority w:val="0"/>
    <w:pPr>
      <w:spacing w:line="510" w:lineRule="atLeast"/>
      <w:jc w:val="left"/>
    </w:pPr>
    <w:rPr>
      <w:kern w:val="0"/>
      <w:sz w:val="24"/>
      <w:szCs w:val="24"/>
    </w:rPr>
  </w:style>
  <w:style w:type="character" w:customStyle="1" w:styleId="24">
    <w:name w:val="hover5"/>
    <w:basedOn w:val="11"/>
    <w:uiPriority w:val="0"/>
  </w:style>
  <w:style w:type="paragraph" w:styleId="25">
    <w:name w:val="List Paragraph"/>
    <w:basedOn w:val="1"/>
    <w:unhideWhenUsed/>
    <w:uiPriority w:val="99"/>
    <w:pPr>
      <w:ind w:firstLine="420" w:firstLineChars="200"/>
    </w:pPr>
  </w:style>
  <w:style w:type="character" w:customStyle="1" w:styleId="26">
    <w:name w:val="文档结构图 Char"/>
    <w:basedOn w:val="11"/>
    <w:link w:val="4"/>
    <w:semiHidden/>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2745</Words>
  <Characters>2911</Characters>
  <Lines>23</Lines>
  <Paragraphs>6</Paragraphs>
  <TotalTime>1145</TotalTime>
  <ScaleCrop>false</ScaleCrop>
  <LinksUpToDate>false</LinksUpToDate>
  <CharactersWithSpaces>2929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2019-08-09T09:07:00Z</dcterms:created>
  <dc:creator>微软用户</dc:creator>
  <cp:lastModifiedBy>afly.</cp:lastModifiedBy>
  <cp:lastPrinted>2014-10-11T06:13:00Z</cp:lastPrinted>
  <dcterms:modified xsi:type="dcterms:W3CDTF">2024-06-20T11:16:38Z</dcterms:modified>
  <dc:subject>北京指南针科技发展有限公司</dc:subject>
  <dc:title>招生简章</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F41F96EE65A744FF842C4DD830C12AE2_12</vt:lpwstr>
  </property>
</Properties>
</file>