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sz w:val="48"/>
          <w:lang w:val="en-US" w:eastAsia="zh-CN"/>
        </w:rPr>
      </w:pPr>
      <w:bookmarkStart w:id="0" w:name="_Hlk86917817"/>
      <w:bookmarkEnd w:id="0"/>
      <w:r>
        <w:rPr>
          <w:rFonts w:hint="eastAsia" w:ascii="黑体" w:hAnsi="黑体" w:eastAsia="黑体"/>
          <w:sz w:val="48"/>
        </w:rPr>
        <w:t>中国人寿</w:t>
      </w:r>
      <w:r>
        <w:rPr>
          <w:rFonts w:hint="eastAsia" w:ascii="黑体" w:hAnsi="黑体" w:eastAsia="黑体"/>
          <w:sz w:val="48"/>
          <w:lang w:val="en-US" w:eastAsia="zh-CN"/>
        </w:rPr>
        <w:t>保险股份有限公司</w:t>
      </w:r>
      <w:r>
        <w:rPr>
          <w:rFonts w:hint="eastAsia" w:ascii="黑体" w:hAnsi="黑体" w:eastAsia="黑体"/>
          <w:sz w:val="48"/>
        </w:rPr>
        <w:t>珠海分公司</w:t>
      </w:r>
      <w:r>
        <w:rPr>
          <w:rFonts w:hint="eastAsia" w:ascii="黑体" w:hAnsi="黑体" w:eastAsia="黑体"/>
          <w:sz w:val="48"/>
          <w:lang w:val="en-US" w:eastAsia="zh-CN"/>
        </w:rPr>
        <w:t>招聘简章</w:t>
      </w:r>
      <w:bookmarkStart w:id="1" w:name="_GoBack"/>
      <w:bookmarkEnd w:id="1"/>
    </w:p>
    <w:p>
      <w:pPr>
        <w:jc w:val="center"/>
        <w:rPr>
          <w:rFonts w:ascii="华文细黑" w:hAnsi="华文细黑" w:eastAsia="华文细黑"/>
          <w:sz w:val="24"/>
        </w:rPr>
      </w:pPr>
      <w:r>
        <w:rPr>
          <w:rFonts w:hint="eastAsia" w:ascii="华文细黑" w:hAnsi="华文细黑" w:eastAsia="华文细黑"/>
          <w:sz w:val="20"/>
        </w:rPr>
        <w:t>-------</w:t>
      </w:r>
      <w:r>
        <w:rPr>
          <w:rFonts w:hint="eastAsia" w:ascii="华文细黑" w:hAnsi="华文细黑" w:eastAsia="华文细黑"/>
          <w:sz w:val="24"/>
        </w:rPr>
        <w:t>中国人寿珠海分公司定向招募2019级应届毕业生计划</w:t>
      </w:r>
    </w:p>
    <w:p>
      <w:pPr>
        <w:jc w:val="center"/>
        <w:rPr>
          <w:rFonts w:ascii="华文细黑" w:hAnsi="华文细黑" w:eastAsia="华文细黑"/>
          <w:sz w:val="24"/>
        </w:rPr>
      </w:pPr>
      <w:r>
        <w:rPr>
          <w:rFonts w:ascii="华文细黑" w:hAnsi="华文细黑" w:eastAsia="华文细黑"/>
          <w:sz w:val="24"/>
        </w:rPr>
        <w:drawing>
          <wp:inline distT="0" distB="0" distL="0" distR="0">
            <wp:extent cx="5760720" cy="1830705"/>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
                    <a:srcRect b="18733"/>
                    <a:stretch>
                      <a:fillRect/>
                    </a:stretch>
                  </pic:blipFill>
                  <pic:spPr>
                    <a:xfrm>
                      <a:off x="0" y="0"/>
                      <a:ext cx="5760720" cy="1830705"/>
                    </a:xfrm>
                    <a:prstGeom prst="rect">
                      <a:avLst/>
                    </a:prstGeom>
                  </pic:spPr>
                </pic:pic>
              </a:graphicData>
            </a:graphic>
          </wp:inline>
        </w:drawing>
      </w:r>
    </w:p>
    <w:p>
      <w:pPr>
        <w:pStyle w:val="7"/>
        <w:numPr>
          <w:ilvl w:val="0"/>
          <w:numId w:val="1"/>
        </w:numPr>
        <w:ind w:firstLineChars="0"/>
        <w:jc w:val="left"/>
        <w:rPr>
          <w:rFonts w:ascii="黑体" w:hAnsi="黑体" w:eastAsia="黑体"/>
          <w:b/>
          <w:sz w:val="32"/>
        </w:rPr>
      </w:pPr>
      <w:r>
        <w:rPr>
          <w:rFonts w:hint="eastAsia" w:ascii="黑体" w:hAnsi="黑体" w:eastAsia="黑体"/>
          <w:b/>
          <w:sz w:val="32"/>
        </w:rPr>
        <w:t>项目背景</w:t>
      </w:r>
    </w:p>
    <w:p>
      <w:pPr>
        <w:pStyle w:val="7"/>
        <w:spacing w:line="360" w:lineRule="auto"/>
        <w:ind w:firstLine="495" w:firstLineChars="236"/>
        <w:jc w:val="left"/>
        <w:rPr>
          <w:rFonts w:hint="eastAsia" w:ascii="仿宋" w:hAnsi="仿宋" w:eastAsia="仿宋"/>
          <w:sz w:val="28"/>
        </w:rPr>
      </w:pPr>
      <w:r>
        <w:drawing>
          <wp:anchor distT="0" distB="0" distL="114300" distR="114300" simplePos="0" relativeHeight="251663360" behindDoc="1" locked="0" layoutInCell="1" allowOverlap="1">
            <wp:simplePos x="0" y="0"/>
            <wp:positionH relativeFrom="column">
              <wp:posOffset>5080</wp:posOffset>
            </wp:positionH>
            <wp:positionV relativeFrom="paragraph">
              <wp:posOffset>1619885</wp:posOffset>
            </wp:positionV>
            <wp:extent cx="5760720" cy="1648460"/>
            <wp:effectExtent l="0" t="0" r="0" b="8890"/>
            <wp:wrapTight wrapText="bothSides">
              <wp:wrapPolygon>
                <wp:start x="0" y="0"/>
                <wp:lineTo x="0" y="21467"/>
                <wp:lineTo x="21500" y="21467"/>
                <wp:lineTo x="2150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60720" cy="1648460"/>
                    </a:xfrm>
                    <a:prstGeom prst="rect">
                      <a:avLst/>
                    </a:prstGeom>
                  </pic:spPr>
                </pic:pic>
              </a:graphicData>
            </a:graphic>
          </wp:anchor>
        </w:drawing>
      </w:r>
      <w:r>
        <w:rPr>
          <w:rFonts w:hint="eastAsia" w:ascii="仿宋" w:hAnsi="仿宋" w:eastAsia="仿宋"/>
          <w:sz w:val="28"/>
        </w:rPr>
        <w:t>中国人寿珠海分公司自2011年起与保险学院建立了深厚的合作关系，十年里，中国人寿珠海分公司持续定向招募，并培养出多名优秀的管理干部及销售精英，为中国人寿珠海分公司青年管理干部的培养储备了充足的力量。</w:t>
      </w:r>
    </w:p>
    <w:p>
      <w:pPr>
        <w:ind w:firstLine="560" w:firstLineChars="200"/>
        <w:jc w:val="left"/>
        <w:rPr>
          <w:rFonts w:ascii="仿宋" w:hAnsi="仿宋" w:eastAsia="仿宋"/>
          <w:sz w:val="28"/>
        </w:rPr>
      </w:pPr>
      <w:r>
        <w:rPr>
          <w:rFonts w:hint="eastAsia" w:ascii="仿宋" w:hAnsi="仿宋" w:eastAsia="仿宋"/>
          <w:sz w:val="28"/>
        </w:rPr>
        <w:t>2017年，珠海成为港澳大湾区一员，经济发展迅速，珠海凭借优渥的地理条件及产业升级，逐步转型成为高端人士聚集的现代化城市。中国人寿珠海分公司有相当一部分高净值客户人群，亟待更专业的团队进行服务。所以，收展部向总经理室申请对长沙保险学院2019级应届毕业生定向招聘、定向选拔、定向培训、定向使用的湾区菁英孵化计划。分公司收展部将通过内部培养方式，对保院生进行长达一年的重点培养、绩效追踪和工作辅导，培养期结束后结合公司甄选机制与学员个人意愿提供相应的工作岗位帮助学员在岗位上发挥个人价值，助力珠海分公司发展。</w:t>
      </w:r>
    </w:p>
    <w:p>
      <w:pPr>
        <w:pStyle w:val="7"/>
        <w:numPr>
          <w:ilvl w:val="0"/>
          <w:numId w:val="1"/>
        </w:numPr>
        <w:ind w:firstLineChars="0"/>
        <w:jc w:val="left"/>
        <w:rPr>
          <w:rFonts w:ascii="黑体" w:hAnsi="黑体" w:eastAsia="黑体"/>
          <w:b/>
          <w:sz w:val="32"/>
        </w:rPr>
      </w:pPr>
      <w:r>
        <w:rPr>
          <w:rFonts w:hint="eastAsia" w:ascii="黑体" w:hAnsi="黑体" w:eastAsia="黑体"/>
          <w:b/>
          <w:sz w:val="32"/>
        </w:rPr>
        <w:t>项目培育计划</w:t>
      </w:r>
    </w:p>
    <w:p>
      <w:pPr>
        <w:pStyle w:val="7"/>
        <w:numPr>
          <w:ilvl w:val="0"/>
          <w:numId w:val="2"/>
        </w:numPr>
        <w:ind w:firstLineChars="0"/>
        <w:jc w:val="left"/>
        <w:rPr>
          <w:rFonts w:ascii="仿宋" w:hAnsi="仿宋" w:eastAsia="仿宋"/>
          <w:color w:val="10243F" w:themeColor="text2" w:themeShade="80"/>
          <w:sz w:val="28"/>
        </w:rPr>
      </w:pPr>
      <w:r>
        <w:rPr>
          <w:rFonts w:hint="eastAsia" w:ascii="华文细黑" w:hAnsi="华文细黑" w:eastAsia="华文细黑"/>
          <w:sz w:val="28"/>
        </w:rPr>
        <w:t>实习岗位：</w:t>
      </w:r>
      <w:r>
        <w:rPr>
          <w:rFonts w:hint="eastAsia" w:ascii="仿宋" w:hAnsi="仿宋" w:eastAsia="仿宋"/>
          <w:color w:val="10243F" w:themeColor="text2" w:themeShade="80"/>
          <w:sz w:val="28"/>
        </w:rPr>
        <w:t>保单续收服务专员</w:t>
      </w:r>
    </w:p>
    <w:p>
      <w:pPr>
        <w:pStyle w:val="7"/>
        <w:numPr>
          <w:ilvl w:val="0"/>
          <w:numId w:val="2"/>
        </w:numPr>
        <w:ind w:firstLineChars="0"/>
        <w:jc w:val="left"/>
        <w:rPr>
          <w:rFonts w:ascii="华文细黑" w:hAnsi="华文细黑" w:eastAsia="华文细黑"/>
          <w:sz w:val="28"/>
        </w:rPr>
      </w:pPr>
      <w:r>
        <w:rPr>
          <w:rFonts w:hint="eastAsia" w:ascii="华文细黑" w:hAnsi="华文细黑" w:eastAsia="华文细黑"/>
          <w:sz w:val="28"/>
        </w:rPr>
        <w:t>定向培养方向：</w:t>
      </w:r>
      <w:r>
        <w:rPr>
          <w:rFonts w:hint="eastAsia" w:ascii="仿宋" w:hAnsi="仿宋" w:eastAsia="仿宋"/>
          <w:color w:val="10243F" w:themeColor="text2" w:themeShade="80"/>
          <w:sz w:val="28"/>
        </w:rPr>
        <w:t>根据实习表现，在分公司进行分流，定岗定职。</w:t>
      </w:r>
    </w:p>
    <w:p>
      <w:pPr>
        <w:pStyle w:val="7"/>
        <w:numPr>
          <w:ilvl w:val="0"/>
          <w:numId w:val="2"/>
        </w:numPr>
        <w:ind w:firstLineChars="0"/>
        <w:jc w:val="left"/>
        <w:rPr>
          <w:rFonts w:ascii="华文细黑" w:hAnsi="华文细黑" w:eastAsia="华文细黑"/>
          <w:sz w:val="28"/>
        </w:rPr>
      </w:pPr>
      <w:r>
        <w:drawing>
          <wp:anchor distT="0" distB="0" distL="114300" distR="114300" simplePos="0" relativeHeight="251659264" behindDoc="1" locked="0" layoutInCell="1" allowOverlap="1">
            <wp:simplePos x="0" y="0"/>
            <wp:positionH relativeFrom="column">
              <wp:posOffset>-73025</wp:posOffset>
            </wp:positionH>
            <wp:positionV relativeFrom="paragraph">
              <wp:posOffset>415290</wp:posOffset>
            </wp:positionV>
            <wp:extent cx="5760720" cy="3324860"/>
            <wp:effectExtent l="0" t="0" r="0" b="8890"/>
            <wp:wrapTight wrapText="bothSides">
              <wp:wrapPolygon>
                <wp:start x="0" y="0"/>
                <wp:lineTo x="0" y="21534"/>
                <wp:lineTo x="21500" y="21534"/>
                <wp:lineTo x="21500"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60720" cy="3324860"/>
                    </a:xfrm>
                    <a:prstGeom prst="rect">
                      <a:avLst/>
                    </a:prstGeom>
                  </pic:spPr>
                </pic:pic>
              </a:graphicData>
            </a:graphic>
          </wp:anchor>
        </w:drawing>
      </w:r>
      <w:r>
        <w:rPr>
          <w:rFonts w:hint="eastAsia" w:ascii="华文细黑" w:hAnsi="华文细黑" w:eastAsia="华文细黑"/>
          <w:sz w:val="28"/>
        </w:rPr>
        <w:t>培养计划：</w:t>
      </w:r>
    </w:p>
    <w:p>
      <w:pPr>
        <w:pStyle w:val="7"/>
        <w:numPr>
          <w:ilvl w:val="0"/>
          <w:numId w:val="3"/>
        </w:numPr>
        <w:ind w:firstLineChars="0"/>
        <w:jc w:val="left"/>
        <w:rPr>
          <w:rFonts w:ascii="华文细黑" w:hAnsi="华文细黑" w:eastAsia="华文细黑"/>
          <w:b/>
          <w:sz w:val="28"/>
        </w:rPr>
      </w:pPr>
      <w:r>
        <w:rPr>
          <w:rFonts w:hint="eastAsia" w:ascii="华文细黑" w:hAnsi="华文细黑" w:eastAsia="华文细黑"/>
          <w:b/>
          <w:sz w:val="28"/>
        </w:rPr>
        <w:t>生活安排：</w:t>
      </w:r>
    </w:p>
    <w:p>
      <w:pPr>
        <w:pStyle w:val="7"/>
        <w:numPr>
          <w:ilvl w:val="0"/>
          <w:numId w:val="4"/>
        </w:numPr>
        <w:spacing w:line="360" w:lineRule="auto"/>
        <w:ind w:left="709" w:hanging="709" w:firstLineChars="0"/>
        <w:jc w:val="left"/>
        <w:rPr>
          <w:rFonts w:ascii="仿宋" w:hAnsi="仿宋" w:eastAsia="仿宋"/>
          <w:sz w:val="28"/>
        </w:rPr>
      </w:pPr>
      <w:r>
        <w:rPr>
          <w:rFonts w:hint="eastAsia" w:ascii="仿宋" w:hAnsi="仿宋" w:eastAsia="仿宋"/>
          <w:sz w:val="28"/>
        </w:rPr>
        <w:t>接待工作安排：在高铁、飞机场迎接到达珠海的同学。为每3-4人优选离公司较近、环境优美的住所，帮助同学们在新的城市安心定居。</w:t>
      </w:r>
    </w:p>
    <w:p>
      <w:pPr>
        <w:pStyle w:val="7"/>
        <w:numPr>
          <w:ilvl w:val="0"/>
          <w:numId w:val="4"/>
        </w:numPr>
        <w:spacing w:line="360" w:lineRule="auto"/>
        <w:ind w:left="709" w:hanging="709" w:firstLineChars="0"/>
        <w:jc w:val="left"/>
        <w:rPr>
          <w:rFonts w:ascii="仿宋" w:hAnsi="仿宋" w:eastAsia="仿宋"/>
          <w:sz w:val="28"/>
        </w:rPr>
      </w:pPr>
      <w:r>
        <w:rPr>
          <w:rFonts w:hint="eastAsia" w:ascii="仿宋" w:hAnsi="仿宋" w:eastAsia="仿宋"/>
          <w:sz w:val="28"/>
        </w:rPr>
        <w:t>迎新安排：待同学们都到达珠海后，举办“迎新仪式”，并邀请总经理室参加。</w:t>
      </w:r>
    </w:p>
    <w:p>
      <w:pPr>
        <w:pStyle w:val="7"/>
        <w:numPr>
          <w:ilvl w:val="0"/>
          <w:numId w:val="4"/>
        </w:numPr>
        <w:spacing w:line="360" w:lineRule="auto"/>
        <w:ind w:left="709" w:hanging="709" w:firstLineChars="0"/>
        <w:jc w:val="left"/>
        <w:rPr>
          <w:rFonts w:ascii="仿宋" w:hAnsi="仿宋" w:eastAsia="仿宋"/>
          <w:sz w:val="28"/>
        </w:rPr>
      </w:pPr>
      <w:r>
        <w:rPr>
          <w:rFonts w:hint="eastAsia" w:ascii="仿宋" w:hAnsi="仿宋" w:eastAsia="仿宋"/>
          <w:sz w:val="28"/>
        </w:rPr>
        <w:t>专职导师安排：为同学们安排专门的生活导师，专项跟进心理、生活上同学的需求。</w:t>
      </w:r>
    </w:p>
    <w:p>
      <w:pPr>
        <w:pStyle w:val="7"/>
        <w:numPr>
          <w:ilvl w:val="0"/>
          <w:numId w:val="3"/>
        </w:numPr>
        <w:spacing w:line="360" w:lineRule="auto"/>
        <w:ind w:firstLineChars="0"/>
        <w:jc w:val="left"/>
        <w:rPr>
          <w:rFonts w:ascii="黑体" w:hAnsi="黑体" w:eastAsia="黑体"/>
          <w:sz w:val="28"/>
        </w:rPr>
      </w:pPr>
      <w:r>
        <w:rPr>
          <w:rFonts w:hint="eastAsia" w:ascii="黑体" w:hAnsi="黑体" w:eastAsia="黑体"/>
          <w:sz w:val="28"/>
        </w:rPr>
        <w:t>工作安排：</w:t>
      </w:r>
    </w:p>
    <w:p>
      <w:pPr>
        <w:spacing w:line="360" w:lineRule="auto"/>
        <w:ind w:firstLine="560" w:firstLineChars="200"/>
        <w:jc w:val="left"/>
        <w:rPr>
          <w:rFonts w:ascii="黑体" w:hAnsi="黑体" w:eastAsia="黑体"/>
          <w:sz w:val="28"/>
        </w:rPr>
      </w:pPr>
      <w:r>
        <w:rPr>
          <w:rFonts w:hint="eastAsia" w:ascii="黑体" w:hAnsi="黑体" w:eastAsia="黑体"/>
          <w:sz w:val="28"/>
        </w:rPr>
        <w:t>入职培训（1周）</w:t>
      </w:r>
    </w:p>
    <w:p>
      <w:pPr>
        <w:spacing w:line="360" w:lineRule="auto"/>
        <w:ind w:firstLine="560" w:firstLineChars="200"/>
        <w:jc w:val="left"/>
        <w:rPr>
          <w:rFonts w:ascii="仿宋" w:hAnsi="仿宋" w:eastAsia="仿宋"/>
          <w:sz w:val="28"/>
        </w:rPr>
      </w:pPr>
      <w:r>
        <w:rPr>
          <w:rFonts w:hint="eastAsia" w:ascii="仿宋" w:hAnsi="仿宋" w:eastAsia="仿宋"/>
          <w:sz w:val="28"/>
        </w:rPr>
        <w:t>通过入职培训，帮助学员建立良好的工作和生活习惯、认同企业文化、了解保险行业，完成从毕业生到国寿人的转变。</w:t>
      </w:r>
    </w:p>
    <w:p>
      <w:pPr>
        <w:spacing w:line="360" w:lineRule="auto"/>
        <w:ind w:firstLine="560" w:firstLineChars="200"/>
        <w:jc w:val="left"/>
        <w:rPr>
          <w:rFonts w:ascii="黑体" w:hAnsi="黑体" w:eastAsia="黑体"/>
          <w:sz w:val="28"/>
        </w:rPr>
      </w:pPr>
      <w:r>
        <w:rPr>
          <w:rFonts w:hint="eastAsia" w:ascii="黑体" w:hAnsi="黑体" w:eastAsia="黑体"/>
          <w:sz w:val="28"/>
        </w:rPr>
        <w:t>基础培训（1个月）</w:t>
      </w:r>
    </w:p>
    <w:p>
      <w:pPr>
        <w:spacing w:line="360" w:lineRule="auto"/>
        <w:ind w:firstLine="560" w:firstLineChars="200"/>
        <w:jc w:val="left"/>
        <w:rPr>
          <w:rFonts w:ascii="仿宋" w:hAnsi="仿宋" w:eastAsia="仿宋"/>
          <w:sz w:val="28"/>
        </w:rPr>
      </w:pPr>
      <w:r>
        <w:rPr>
          <w:rFonts w:hint="eastAsia" w:ascii="仿宋" w:hAnsi="仿宋" w:eastAsia="仿宋"/>
          <w:sz w:val="28"/>
        </w:rPr>
        <w:t>对岗位和工作有初步了解后，将针对收展发展业务开展基础培训，帮助学员加深理解工作内容和价值，学习基本职业知识技能。</w:t>
      </w:r>
    </w:p>
    <w:p>
      <w:pPr>
        <w:spacing w:line="360" w:lineRule="auto"/>
        <w:ind w:firstLine="560" w:firstLineChars="200"/>
        <w:jc w:val="left"/>
        <w:rPr>
          <w:rFonts w:ascii="黑体" w:hAnsi="黑体" w:eastAsia="黑体"/>
          <w:sz w:val="28"/>
        </w:rPr>
      </w:pPr>
      <w:r>
        <w:rPr>
          <w:rFonts w:hint="eastAsia" w:ascii="黑体" w:hAnsi="黑体" w:eastAsia="黑体"/>
          <w:sz w:val="28"/>
        </w:rPr>
        <w:t>轮训期（1个月）</w:t>
      </w:r>
    </w:p>
    <w:p>
      <w:pPr>
        <w:spacing w:line="360" w:lineRule="auto"/>
        <w:ind w:firstLine="565" w:firstLineChars="202"/>
        <w:jc w:val="left"/>
        <w:rPr>
          <w:rFonts w:ascii="仿宋" w:hAnsi="仿宋" w:eastAsia="仿宋"/>
          <w:sz w:val="28"/>
        </w:rPr>
      </w:pPr>
      <w:r>
        <w:rPr>
          <w:rFonts w:hint="eastAsia" w:ascii="仿宋" w:hAnsi="仿宋" w:eastAsia="仿宋"/>
          <w:sz w:val="28"/>
        </w:rPr>
        <w:t>针对培训期间，表现优异的同学，推荐参与收展部、机构、柜面等工作，初步掌握岗位基础技能，为后续岗位实践历练打下基础。</w:t>
      </w:r>
    </w:p>
    <w:p>
      <w:pPr>
        <w:spacing w:line="360" w:lineRule="auto"/>
        <w:ind w:firstLine="560" w:firstLineChars="200"/>
        <w:jc w:val="left"/>
        <w:rPr>
          <w:rFonts w:ascii="黑体" w:hAnsi="黑体" w:eastAsia="黑体"/>
          <w:sz w:val="28"/>
        </w:rPr>
      </w:pPr>
      <w:r>
        <w:rPr>
          <w:rFonts w:hint="eastAsia" w:ascii="黑体" w:hAnsi="黑体" w:eastAsia="黑体"/>
          <w:sz w:val="28"/>
        </w:rPr>
        <w:t>技能提升培训（0.5个月）</w:t>
      </w:r>
    </w:p>
    <w:p>
      <w:pPr>
        <w:spacing w:line="360" w:lineRule="auto"/>
        <w:ind w:firstLine="560" w:firstLineChars="200"/>
        <w:jc w:val="left"/>
        <w:rPr>
          <w:rFonts w:ascii="仿宋" w:hAnsi="仿宋" w:eastAsia="仿宋"/>
          <w:sz w:val="28"/>
        </w:rPr>
      </w:pPr>
      <w:r>
        <w:rPr>
          <w:rFonts w:hint="eastAsia" w:ascii="仿宋" w:hAnsi="仿宋" w:eastAsia="仿宋"/>
          <w:sz w:val="28"/>
        </w:rPr>
        <w:t>联动集团公司、单位的管理人员及精英分享成功经验，提升同学们的综合金融知识。</w:t>
      </w:r>
    </w:p>
    <w:p>
      <w:pPr>
        <w:ind w:firstLine="560" w:firstLineChars="200"/>
        <w:jc w:val="left"/>
        <w:rPr>
          <w:rFonts w:ascii="黑体" w:hAnsi="黑体" w:eastAsia="黑体"/>
          <w:sz w:val="28"/>
        </w:rPr>
      </w:pPr>
      <w:r>
        <w:rPr>
          <w:rFonts w:hint="eastAsia" w:ascii="黑体" w:hAnsi="黑体" w:eastAsia="黑体"/>
          <w:sz w:val="28"/>
        </w:rPr>
        <w:t>实战练兵（5个月）</w:t>
      </w:r>
    </w:p>
    <w:p>
      <w:pPr>
        <w:spacing w:line="360" w:lineRule="auto"/>
        <w:ind w:firstLine="560" w:firstLineChars="200"/>
        <w:jc w:val="left"/>
        <w:rPr>
          <w:rFonts w:ascii="仿宋" w:hAnsi="仿宋" w:eastAsia="仿宋"/>
          <w:sz w:val="28"/>
        </w:rPr>
      </w:pPr>
      <w:r>
        <w:rPr>
          <w:rFonts w:hint="eastAsia" w:ascii="仿宋" w:hAnsi="仿宋" w:eastAsia="仿宋"/>
          <w:sz w:val="28"/>
        </w:rPr>
        <w:t>在收展渠道进入不同的团队，进行实战学习。将所学所想应用于实际工作，通过5个月的优秀基地学习成长，学习优秀经验、先进运营模式。并定期召开座谈会，及时解决实习过程中遇到的各类问题；季度召开类型丰富的团建活动，提升团队凝聚力。</w:t>
      </w:r>
    </w:p>
    <w:p>
      <w:pPr>
        <w:ind w:firstLine="560" w:firstLineChars="200"/>
        <w:jc w:val="left"/>
        <w:rPr>
          <w:rFonts w:ascii="黑体" w:hAnsi="黑体" w:eastAsia="黑体"/>
          <w:sz w:val="28"/>
        </w:rPr>
      </w:pPr>
      <w:r>
        <w:rPr>
          <w:rFonts w:hint="eastAsia" w:ascii="黑体" w:hAnsi="黑体" w:eastAsia="黑体"/>
          <w:sz w:val="28"/>
        </w:rPr>
        <w:t>实训结业（6个月结束期）</w:t>
      </w:r>
    </w:p>
    <w:p>
      <w:pPr>
        <w:ind w:firstLine="560" w:firstLineChars="200"/>
        <w:jc w:val="left"/>
        <w:rPr>
          <w:rFonts w:ascii="黑体" w:hAnsi="黑体" w:eastAsia="黑体"/>
          <w:sz w:val="28"/>
        </w:rPr>
      </w:pPr>
      <w:r>
        <w:rPr>
          <w:rFonts w:hint="eastAsia" w:ascii="仿宋" w:hAnsi="仿宋" w:eastAsia="仿宋"/>
          <w:sz w:val="28"/>
        </w:rPr>
        <w:t>举办结业答辩会，对知识技能进行回顾和总结，并分享成长经历，对个人进行下阶段职业规划。</w:t>
      </w:r>
    </w:p>
    <w:p>
      <w:pPr>
        <w:spacing w:line="360" w:lineRule="auto"/>
        <w:ind w:firstLine="560" w:firstLineChars="200"/>
        <w:jc w:val="left"/>
        <w:rPr>
          <w:rFonts w:ascii="黑体" w:hAnsi="黑体" w:eastAsia="黑体"/>
          <w:sz w:val="28"/>
        </w:rPr>
      </w:pPr>
      <w:r>
        <w:rPr>
          <w:rFonts w:hint="eastAsia" w:ascii="黑体" w:hAnsi="黑体" w:eastAsia="黑体"/>
          <w:sz w:val="28"/>
        </w:rPr>
        <w:t>定向培养（7-12月）</w:t>
      </w:r>
    </w:p>
    <w:p>
      <w:pPr>
        <w:spacing w:line="360" w:lineRule="auto"/>
        <w:ind w:firstLine="560" w:firstLineChars="200"/>
        <w:jc w:val="left"/>
        <w:rPr>
          <w:rFonts w:ascii="仿宋" w:hAnsi="仿宋" w:eastAsia="仿宋"/>
          <w:sz w:val="28"/>
        </w:rPr>
      </w:pPr>
      <w:r>
        <w:rPr>
          <w:rFonts w:hint="eastAsia" w:ascii="仿宋" w:hAnsi="仿宋" w:eastAsia="仿宋"/>
          <w:sz w:val="28"/>
        </w:rPr>
        <w:t>对于实训期表现优异者，定向输送。</w:t>
      </w:r>
    </w:p>
    <w:p>
      <w:pPr>
        <w:spacing w:line="360" w:lineRule="auto"/>
        <w:ind w:firstLine="562" w:firstLineChars="200"/>
        <w:jc w:val="left"/>
        <w:rPr>
          <w:rFonts w:ascii="黑体" w:hAnsi="黑体" w:eastAsia="黑体"/>
          <w:b/>
          <w:sz w:val="28"/>
        </w:rPr>
      </w:pPr>
      <w:r>
        <w:rPr>
          <w:rFonts w:hint="eastAsia" w:ascii="黑体" w:hAnsi="黑体" w:eastAsia="黑体"/>
          <w:b/>
          <w:sz w:val="28"/>
        </w:rPr>
        <w:t>成长计划：</w:t>
      </w:r>
    </w:p>
    <w:p>
      <w:pPr>
        <w:pStyle w:val="7"/>
        <w:numPr>
          <w:ilvl w:val="0"/>
          <w:numId w:val="5"/>
        </w:numPr>
        <w:ind w:firstLineChars="0"/>
        <w:jc w:val="left"/>
        <w:rPr>
          <w:rFonts w:ascii="仿宋" w:hAnsi="仿宋" w:eastAsia="仿宋"/>
          <w:sz w:val="28"/>
        </w:rPr>
      </w:pPr>
      <w:r>
        <w:rPr>
          <w:rFonts w:hint="eastAsia" w:ascii="仿宋" w:hAnsi="仿宋" w:eastAsia="仿宋"/>
          <w:sz w:val="28"/>
        </w:rPr>
        <w:t>一次兄弟公司交流学习机会</w:t>
      </w:r>
    </w:p>
    <w:p>
      <w:pPr>
        <w:pStyle w:val="7"/>
        <w:numPr>
          <w:ilvl w:val="0"/>
          <w:numId w:val="5"/>
        </w:numPr>
        <w:ind w:firstLineChars="0"/>
        <w:jc w:val="left"/>
        <w:rPr>
          <w:rFonts w:ascii="仿宋" w:hAnsi="仿宋" w:eastAsia="仿宋"/>
          <w:sz w:val="28"/>
        </w:rPr>
      </w:pPr>
      <w:r>
        <w:rPr>
          <w:rFonts w:hint="eastAsia" w:ascii="仿宋" w:hAnsi="仿宋" w:eastAsia="仿宋"/>
          <w:sz w:val="28"/>
        </w:rPr>
        <w:t>一次珠海知名企业参观学习</w:t>
      </w:r>
    </w:p>
    <w:p>
      <w:pPr>
        <w:pStyle w:val="7"/>
        <w:numPr>
          <w:ilvl w:val="0"/>
          <w:numId w:val="5"/>
        </w:numPr>
        <w:ind w:firstLineChars="0"/>
        <w:jc w:val="left"/>
        <w:rPr>
          <w:rFonts w:ascii="仿宋" w:hAnsi="仿宋" w:eastAsia="仿宋"/>
          <w:sz w:val="28"/>
        </w:rPr>
      </w:pPr>
      <w:r>
        <w:rPr>
          <w:rFonts w:hint="eastAsia" w:ascii="仿宋" w:hAnsi="仿宋" w:eastAsia="仿宋"/>
          <w:sz w:val="28"/>
        </w:rPr>
        <w:t>一次珠海名胜古迹游览</w:t>
      </w:r>
    </w:p>
    <w:p>
      <w:pPr>
        <w:pStyle w:val="7"/>
        <w:numPr>
          <w:ilvl w:val="0"/>
          <w:numId w:val="5"/>
        </w:numPr>
        <w:ind w:firstLineChars="0"/>
        <w:jc w:val="left"/>
        <w:rPr>
          <w:rFonts w:ascii="仿宋" w:hAnsi="仿宋" w:eastAsia="仿宋"/>
          <w:sz w:val="28"/>
        </w:rPr>
      </w:pPr>
      <w:r>
        <w:rPr>
          <w:rFonts w:hint="eastAsia" w:ascii="仿宋" w:hAnsi="仿宋" w:eastAsia="仿宋"/>
          <w:sz w:val="28"/>
        </w:rPr>
        <w:t>组织党建活动</w:t>
      </w:r>
    </w:p>
    <w:p>
      <w:pPr>
        <w:spacing w:line="360" w:lineRule="auto"/>
        <w:jc w:val="left"/>
        <w:rPr>
          <w:rFonts w:ascii="仿宋" w:hAnsi="仿宋" w:eastAsia="仿宋"/>
          <w:sz w:val="28"/>
        </w:rPr>
      </w:pPr>
      <w:r>
        <w:rPr>
          <w:rFonts w:hint="eastAsia" w:ascii="仿宋" w:hAnsi="仿宋" w:eastAsia="仿宋"/>
          <w:b/>
          <w:sz w:val="28"/>
        </w:rPr>
        <w:t>基本薪酬：</w:t>
      </w:r>
      <w:r>
        <w:rPr>
          <w:rFonts w:hint="eastAsia" w:ascii="仿宋" w:hAnsi="仿宋" w:eastAsia="仿宋"/>
          <w:sz w:val="28"/>
        </w:rPr>
        <w:t>针对2021年12月入职的保院生推出专项委托报酬计划，并配套绩效及奖励等支持，挑战高薪，实现梦想。</w:t>
      </w:r>
    </w:p>
    <w:p>
      <w:pPr>
        <w:spacing w:line="312" w:lineRule="auto"/>
        <w:rPr>
          <w:rFonts w:ascii="微软雅黑" w:hAnsi="微软雅黑" w:eastAsia="微软雅黑" w:cs="Times New Roman"/>
          <w:b/>
          <w:bCs/>
          <w:color w:val="FF0000"/>
          <w:sz w:val="24"/>
          <w:szCs w:val="24"/>
        </w:rPr>
      </w:pPr>
      <w:r>
        <w:rPr>
          <w:rFonts w:ascii="仿宋" w:hAnsi="仿宋" w:eastAsia="仿宋"/>
          <w:sz w:val="28"/>
        </w:rPr>
        <mc:AlternateContent>
          <mc:Choice Requires="wps">
            <w:drawing>
              <wp:anchor distT="0" distB="0" distL="114300" distR="114300" simplePos="0" relativeHeight="251662336" behindDoc="0" locked="0" layoutInCell="1" allowOverlap="1">
                <wp:simplePos x="0" y="0"/>
                <wp:positionH relativeFrom="column">
                  <wp:posOffset>520065</wp:posOffset>
                </wp:positionH>
                <wp:positionV relativeFrom="paragraph">
                  <wp:posOffset>66675</wp:posOffset>
                </wp:positionV>
                <wp:extent cx="1438910" cy="1038225"/>
                <wp:effectExtent l="0" t="0" r="0" b="0"/>
                <wp:wrapNone/>
                <wp:docPr id="4" name="文本框 1969"/>
                <wp:cNvGraphicFramePr/>
                <a:graphic xmlns:a="http://schemas.openxmlformats.org/drawingml/2006/main">
                  <a:graphicData uri="http://schemas.microsoft.com/office/word/2010/wordprocessingShape">
                    <wps:wsp>
                      <wps:cNvSpPr txBox="1"/>
                      <wps:spPr>
                        <a:xfrm>
                          <a:off x="0" y="0"/>
                          <a:ext cx="1438634" cy="1038225"/>
                        </a:xfrm>
                        <a:prstGeom prst="rect">
                          <a:avLst/>
                        </a:prstGeom>
                        <a:noFill/>
                      </wps:spPr>
                      <wps:txbx>
                        <w:txbxContent>
                          <w:p>
                            <w:pPr>
                              <w:spacing w:line="312" w:lineRule="auto"/>
                              <w:rPr>
                                <w:rFonts w:ascii="微软雅黑" w:hAnsi="微软雅黑" w:eastAsia="微软雅黑" w:cs="Times New Roman"/>
                                <w:b/>
                                <w:bCs/>
                                <w:color w:val="FF0000"/>
                                <w:sz w:val="24"/>
                                <w:szCs w:val="24"/>
                              </w:rPr>
                            </w:pPr>
                            <w:r>
                              <w:rPr>
                                <w:rFonts w:hint="eastAsia" w:ascii="微软雅黑" w:hAnsi="微软雅黑" w:eastAsia="微软雅黑" w:cs="Times New Roman"/>
                                <w:b/>
                                <w:bCs/>
                                <w:color w:val="FF0000"/>
                              </w:rPr>
                              <w:t>详情请扫码进群咨询</w:t>
                            </w:r>
                          </w:p>
                        </w:txbxContent>
                      </wps:txbx>
                      <wps:bodyPr wrap="square">
                        <a:spAutoFit/>
                      </wps:bodyPr>
                    </wps:wsp>
                  </a:graphicData>
                </a:graphic>
              </wp:anchor>
            </w:drawing>
          </mc:Choice>
          <mc:Fallback>
            <w:pict>
              <v:shape id="文本框 1969" o:spid="_x0000_s1026" o:spt="202" type="#_x0000_t202" style="position:absolute;left:0pt;margin-left:40.95pt;margin-top:5.25pt;height:81.75pt;width:113.3pt;z-index:251662336;mso-width-relative:page;mso-height-relative:page;" filled="f" stroked="f" coordsize="21600,21600" o:gfxdata="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PGiozVAAAACQEAAA8AAAAAAAAAAQAgAAAAIgAAAGRycy9kb3ducmV2LnhtbFBLAQIUABQAAAAI&#10;AIdO4kDQDejJtwEAAFYDAAAOAAAAAAAAAAEAIAAAACQBAABkcnMvZTJvRG9jLnhtbFBLBQYAAAAA&#10;BgAGAFkBAABNBQAAAAA=&#10;">
                <v:fill on="f" focussize="0,0"/>
                <v:stroke on="f"/>
                <v:imagedata o:title=""/>
                <o:lock v:ext="edit" aspectratio="f"/>
                <v:textbox style="mso-fit-shape-to-text:t;">
                  <w:txbxContent>
                    <w:p>
                      <w:pPr>
                        <w:spacing w:line="312" w:lineRule="auto"/>
                        <w:rPr>
                          <w:rFonts w:ascii="微软雅黑" w:hAnsi="微软雅黑" w:eastAsia="微软雅黑" w:cs="Times New Roman"/>
                          <w:b/>
                          <w:bCs/>
                          <w:color w:val="FF0000"/>
                          <w:sz w:val="24"/>
                          <w:szCs w:val="24"/>
                        </w:rPr>
                      </w:pPr>
                      <w:r>
                        <w:rPr>
                          <w:rFonts w:hint="eastAsia" w:ascii="微软雅黑" w:hAnsi="微软雅黑" w:eastAsia="微软雅黑" w:cs="Times New Roman"/>
                          <w:b/>
                          <w:bCs/>
                          <w:color w:val="FF0000"/>
                        </w:rPr>
                        <w:t>详情请扫码进群咨询</w:t>
                      </w:r>
                    </w:p>
                  </w:txbxContent>
                </v:textbox>
              </v:shape>
            </w:pict>
          </mc:Fallback>
        </mc:AlternateContent>
      </w:r>
      <w:r>
        <w:rPr>
          <w:rFonts w:ascii="仿宋" w:hAnsi="仿宋" w:eastAsia="仿宋"/>
          <w:sz w:val="28"/>
        </w:rPr>
        <w:drawing>
          <wp:anchor distT="0" distB="0" distL="114300" distR="114300" simplePos="0" relativeHeight="251660288" behindDoc="0" locked="0" layoutInCell="1" allowOverlap="1">
            <wp:simplePos x="0" y="0"/>
            <wp:positionH relativeFrom="column">
              <wp:posOffset>670560</wp:posOffset>
            </wp:positionH>
            <wp:positionV relativeFrom="paragraph">
              <wp:posOffset>572770</wp:posOffset>
            </wp:positionV>
            <wp:extent cx="1127125" cy="1132205"/>
            <wp:effectExtent l="76200" t="76200" r="130175" b="12509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125" cy="11322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仿宋" w:hAnsi="仿宋" w:eastAsia="仿宋"/>
          <w:sz w:val="28"/>
        </w:rPr>
        <mc:AlternateContent>
          <mc:Choice Requires="wps">
            <w:drawing>
              <wp:anchor distT="0" distB="0" distL="114300" distR="114300" simplePos="0" relativeHeight="251661312" behindDoc="0" locked="0" layoutInCell="1" allowOverlap="1">
                <wp:simplePos x="0" y="0"/>
                <wp:positionH relativeFrom="column">
                  <wp:posOffset>3117850</wp:posOffset>
                </wp:positionH>
                <wp:positionV relativeFrom="paragraph">
                  <wp:posOffset>121285</wp:posOffset>
                </wp:positionV>
                <wp:extent cx="2632075" cy="1038225"/>
                <wp:effectExtent l="0" t="0" r="0" b="0"/>
                <wp:wrapNone/>
                <wp:docPr id="1970" name="文本框 1969"/>
                <wp:cNvGraphicFramePr/>
                <a:graphic xmlns:a="http://schemas.openxmlformats.org/drawingml/2006/main">
                  <a:graphicData uri="http://schemas.microsoft.com/office/word/2010/wordprocessingShape">
                    <wps:wsp>
                      <wps:cNvSpPr txBox="1"/>
                      <wps:spPr>
                        <a:xfrm>
                          <a:off x="0" y="0"/>
                          <a:ext cx="2631881" cy="1038225"/>
                        </a:xfrm>
                        <a:prstGeom prst="rect">
                          <a:avLst/>
                        </a:prstGeom>
                        <a:noFill/>
                      </wps:spPr>
                      <wps:txbx>
                        <w:txbxContent>
                          <w:p>
                            <w:pPr>
                              <w:spacing w:line="312" w:lineRule="auto"/>
                              <w:rPr>
                                <w:rFonts w:ascii="微软雅黑" w:hAnsi="微软雅黑" w:eastAsia="微软雅黑" w:cs="Times New Roman"/>
                                <w:b/>
                                <w:bCs/>
                                <w:color w:val="FF0000"/>
                                <w:sz w:val="24"/>
                                <w:szCs w:val="24"/>
                              </w:rPr>
                            </w:pPr>
                            <w:r>
                              <w:rPr>
                                <w:rFonts w:hint="eastAsia" w:ascii="微软雅黑" w:hAnsi="微软雅黑" w:eastAsia="微软雅黑" w:cs="Times New Roman"/>
                                <w:b/>
                                <w:bCs/>
                                <w:color w:val="FF0000"/>
                              </w:rPr>
                              <w:t>许先生</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湾区明珠菁英计划负责人</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邮箱：943763458@qq.com</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电话：13726263683</w:t>
                            </w:r>
                          </w:p>
                        </w:txbxContent>
                      </wps:txbx>
                      <wps:bodyPr wrap="square">
                        <a:spAutoFit/>
                      </wps:bodyPr>
                    </wps:wsp>
                  </a:graphicData>
                </a:graphic>
              </wp:anchor>
            </w:drawing>
          </mc:Choice>
          <mc:Fallback>
            <w:pict>
              <v:shape id="文本框 1969" o:spid="_x0000_s1026" o:spt="202" type="#_x0000_t202" style="position:absolute;left:0pt;margin-left:245.5pt;margin-top:9.55pt;height:81.75pt;width:207.25pt;z-index:251661312;mso-width-relative:page;mso-height-relative:page;" filled="f" stroked="f" coordsize="21600,21600" o:gfxdata="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7RFvLXAAAACgEAAA8AAAAAAAAAAQAgAAAAIgAAAGRycy9kb3ducmV2LnhtbFBLAQIUABQA&#10;AAAIAIdO4kBoK6o8uAEAAFkDAAAOAAAAAAAAAAEAIAAAACYBAABkcnMvZTJvRG9jLnhtbFBLBQYA&#10;AAAABgAGAFkBAABQBQAAAAA=&#10;">
                <v:fill on="f" focussize="0,0"/>
                <v:stroke on="f"/>
                <v:imagedata o:title=""/>
                <o:lock v:ext="edit" aspectratio="f"/>
                <v:textbox style="mso-fit-shape-to-text:t;">
                  <w:txbxContent>
                    <w:p>
                      <w:pPr>
                        <w:spacing w:line="312" w:lineRule="auto"/>
                        <w:rPr>
                          <w:rFonts w:ascii="微软雅黑" w:hAnsi="微软雅黑" w:eastAsia="微软雅黑" w:cs="Times New Roman"/>
                          <w:b/>
                          <w:bCs/>
                          <w:color w:val="FF0000"/>
                          <w:sz w:val="24"/>
                          <w:szCs w:val="24"/>
                        </w:rPr>
                      </w:pPr>
                      <w:r>
                        <w:rPr>
                          <w:rFonts w:hint="eastAsia" w:ascii="微软雅黑" w:hAnsi="微软雅黑" w:eastAsia="微软雅黑" w:cs="Times New Roman"/>
                          <w:b/>
                          <w:bCs/>
                          <w:color w:val="FF0000"/>
                        </w:rPr>
                        <w:t>许先生</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湾区明珠菁英计划负责人</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邮箱：943763458@qq.com</w:t>
                      </w:r>
                    </w:p>
                    <w:p>
                      <w:pPr>
                        <w:spacing w:line="312" w:lineRule="auto"/>
                        <w:rPr>
                          <w:rFonts w:ascii="微软雅黑" w:hAnsi="微软雅黑" w:eastAsia="微软雅黑" w:cs="Times New Roman"/>
                          <w:b/>
                          <w:bCs/>
                          <w:color w:val="FF0000"/>
                        </w:rPr>
                      </w:pPr>
                      <w:r>
                        <w:rPr>
                          <w:rFonts w:hint="eastAsia" w:ascii="微软雅黑" w:hAnsi="微软雅黑" w:eastAsia="微软雅黑" w:cs="Times New Roman"/>
                          <w:b/>
                          <w:bCs/>
                          <w:color w:val="FF0000"/>
                        </w:rPr>
                        <w:t>电话：13726263683</w:t>
                      </w:r>
                    </w:p>
                  </w:txbxContent>
                </v:textbox>
              </v:shape>
            </w:pict>
          </mc:Fallback>
        </mc:AlternateContent>
      </w:r>
      <w:r>
        <w:rPr>
          <w:rFonts w:ascii="仿宋" w:hAnsi="仿宋" w:eastAsia="仿宋"/>
          <w:sz w:val="28"/>
        </w:rPr>
        <w:drawing>
          <wp:inline distT="0" distB="0" distL="0" distR="0">
            <wp:extent cx="5760720" cy="183070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4"/>
                    <a:srcRect b="18733"/>
                    <a:stretch>
                      <a:fillRect/>
                    </a:stretch>
                  </pic:blipFill>
                  <pic:spPr>
                    <a:xfrm>
                      <a:off x="0" y="0"/>
                      <a:ext cx="5760720" cy="1830705"/>
                    </a:xfrm>
                    <a:prstGeom prst="rect">
                      <a:avLst/>
                    </a:prstGeom>
                  </pic:spPr>
                </pic:pic>
              </a:graphicData>
            </a:graphic>
          </wp:inline>
        </w:drawing>
      </w:r>
    </w:p>
    <w:sectPr>
      <w:pgSz w:w="11906" w:h="16838"/>
      <w:pgMar w:top="1134" w:right="1416"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1B26A3"/>
    <w:multiLevelType w:val="multilevel"/>
    <w:tmpl w:val="171B26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0D22209"/>
    <w:multiLevelType w:val="multilevel"/>
    <w:tmpl w:val="30D2220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CC41A4"/>
    <w:multiLevelType w:val="multilevel"/>
    <w:tmpl w:val="3BCC41A4"/>
    <w:lvl w:ilvl="0" w:tentative="0">
      <w:start w:val="1"/>
      <w:numFmt w:val="bullet"/>
      <w:lvlText w:val=""/>
      <w:lvlJc w:val="left"/>
      <w:pPr>
        <w:ind w:left="1700" w:hanging="420"/>
      </w:pPr>
      <w:rPr>
        <w:rFonts w:hint="default" w:ascii="Wingdings" w:hAnsi="Wingdings"/>
      </w:rPr>
    </w:lvl>
    <w:lvl w:ilvl="1" w:tentative="0">
      <w:start w:val="1"/>
      <w:numFmt w:val="bullet"/>
      <w:lvlText w:val=""/>
      <w:lvlJc w:val="left"/>
      <w:pPr>
        <w:ind w:left="2120" w:hanging="420"/>
      </w:pPr>
      <w:rPr>
        <w:rFonts w:hint="default" w:ascii="Wingdings" w:hAnsi="Wingdings"/>
      </w:rPr>
    </w:lvl>
    <w:lvl w:ilvl="2" w:tentative="0">
      <w:start w:val="1"/>
      <w:numFmt w:val="bullet"/>
      <w:lvlText w:val=""/>
      <w:lvlJc w:val="left"/>
      <w:pPr>
        <w:ind w:left="2540" w:hanging="420"/>
      </w:pPr>
      <w:rPr>
        <w:rFonts w:hint="default" w:ascii="Wingdings" w:hAnsi="Wingdings"/>
      </w:rPr>
    </w:lvl>
    <w:lvl w:ilvl="3" w:tentative="0">
      <w:start w:val="1"/>
      <w:numFmt w:val="bullet"/>
      <w:lvlText w:val=""/>
      <w:lvlJc w:val="left"/>
      <w:pPr>
        <w:ind w:left="2960" w:hanging="420"/>
      </w:pPr>
      <w:rPr>
        <w:rFonts w:hint="default" w:ascii="Wingdings" w:hAnsi="Wingdings"/>
      </w:rPr>
    </w:lvl>
    <w:lvl w:ilvl="4" w:tentative="0">
      <w:start w:val="1"/>
      <w:numFmt w:val="bullet"/>
      <w:lvlText w:val=""/>
      <w:lvlJc w:val="left"/>
      <w:pPr>
        <w:ind w:left="3380" w:hanging="420"/>
      </w:pPr>
      <w:rPr>
        <w:rFonts w:hint="default" w:ascii="Wingdings" w:hAnsi="Wingdings"/>
      </w:rPr>
    </w:lvl>
    <w:lvl w:ilvl="5" w:tentative="0">
      <w:start w:val="1"/>
      <w:numFmt w:val="bullet"/>
      <w:lvlText w:val=""/>
      <w:lvlJc w:val="left"/>
      <w:pPr>
        <w:ind w:left="3800" w:hanging="420"/>
      </w:pPr>
      <w:rPr>
        <w:rFonts w:hint="default" w:ascii="Wingdings" w:hAnsi="Wingdings"/>
      </w:rPr>
    </w:lvl>
    <w:lvl w:ilvl="6" w:tentative="0">
      <w:start w:val="1"/>
      <w:numFmt w:val="bullet"/>
      <w:lvlText w:val=""/>
      <w:lvlJc w:val="left"/>
      <w:pPr>
        <w:ind w:left="4220" w:hanging="420"/>
      </w:pPr>
      <w:rPr>
        <w:rFonts w:hint="default" w:ascii="Wingdings" w:hAnsi="Wingdings"/>
      </w:rPr>
    </w:lvl>
    <w:lvl w:ilvl="7" w:tentative="0">
      <w:start w:val="1"/>
      <w:numFmt w:val="bullet"/>
      <w:lvlText w:val=""/>
      <w:lvlJc w:val="left"/>
      <w:pPr>
        <w:ind w:left="4640" w:hanging="420"/>
      </w:pPr>
      <w:rPr>
        <w:rFonts w:hint="default" w:ascii="Wingdings" w:hAnsi="Wingdings"/>
      </w:rPr>
    </w:lvl>
    <w:lvl w:ilvl="8" w:tentative="0">
      <w:start w:val="1"/>
      <w:numFmt w:val="bullet"/>
      <w:lvlText w:val=""/>
      <w:lvlJc w:val="left"/>
      <w:pPr>
        <w:ind w:left="5060" w:hanging="420"/>
      </w:pPr>
      <w:rPr>
        <w:rFonts w:hint="default" w:ascii="Wingdings" w:hAnsi="Wingdings"/>
      </w:rPr>
    </w:lvl>
  </w:abstractNum>
  <w:abstractNum w:abstractNumId="3">
    <w:nsid w:val="6E3362D0"/>
    <w:multiLevelType w:val="multilevel"/>
    <w:tmpl w:val="6E3362D0"/>
    <w:lvl w:ilvl="0" w:tentative="0">
      <w:start w:val="1"/>
      <w:numFmt w:val="japaneseCounting"/>
      <w:lvlText w:val="%1、"/>
      <w:lvlJc w:val="left"/>
      <w:pPr>
        <w:ind w:left="1080" w:hanging="108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85778D6"/>
    <w:multiLevelType w:val="multilevel"/>
    <w:tmpl w:val="785778D6"/>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E7A"/>
    <w:rsid w:val="0001340A"/>
    <w:rsid w:val="0005224D"/>
    <w:rsid w:val="000536AC"/>
    <w:rsid w:val="000629FE"/>
    <w:rsid w:val="000671D0"/>
    <w:rsid w:val="00072B75"/>
    <w:rsid w:val="00076D75"/>
    <w:rsid w:val="000B1503"/>
    <w:rsid w:val="000D7482"/>
    <w:rsid w:val="000F12D0"/>
    <w:rsid w:val="000F3747"/>
    <w:rsid w:val="000F4B75"/>
    <w:rsid w:val="000F50DF"/>
    <w:rsid w:val="00135347"/>
    <w:rsid w:val="001C3CF5"/>
    <w:rsid w:val="002022F1"/>
    <w:rsid w:val="00215638"/>
    <w:rsid w:val="00232508"/>
    <w:rsid w:val="00235F66"/>
    <w:rsid w:val="0024591B"/>
    <w:rsid w:val="0027398E"/>
    <w:rsid w:val="00280104"/>
    <w:rsid w:val="00292616"/>
    <w:rsid w:val="002A35CD"/>
    <w:rsid w:val="002A44C1"/>
    <w:rsid w:val="002B2191"/>
    <w:rsid w:val="002C3EAC"/>
    <w:rsid w:val="002E04A1"/>
    <w:rsid w:val="003151C5"/>
    <w:rsid w:val="0032680B"/>
    <w:rsid w:val="0037529E"/>
    <w:rsid w:val="003D46CD"/>
    <w:rsid w:val="003D6529"/>
    <w:rsid w:val="003D6A77"/>
    <w:rsid w:val="003F4B28"/>
    <w:rsid w:val="00424204"/>
    <w:rsid w:val="00493D7A"/>
    <w:rsid w:val="004A5406"/>
    <w:rsid w:val="004D2C20"/>
    <w:rsid w:val="004D2E7A"/>
    <w:rsid w:val="004D5287"/>
    <w:rsid w:val="00514ACF"/>
    <w:rsid w:val="0053092F"/>
    <w:rsid w:val="00550A35"/>
    <w:rsid w:val="00572386"/>
    <w:rsid w:val="00577EBF"/>
    <w:rsid w:val="00592EE4"/>
    <w:rsid w:val="005A5589"/>
    <w:rsid w:val="005A66A5"/>
    <w:rsid w:val="005B5038"/>
    <w:rsid w:val="005E4F94"/>
    <w:rsid w:val="005F10E6"/>
    <w:rsid w:val="006028AA"/>
    <w:rsid w:val="006134F8"/>
    <w:rsid w:val="00613D1A"/>
    <w:rsid w:val="006158D1"/>
    <w:rsid w:val="00647D41"/>
    <w:rsid w:val="006554C8"/>
    <w:rsid w:val="00657C49"/>
    <w:rsid w:val="006601EA"/>
    <w:rsid w:val="006607C9"/>
    <w:rsid w:val="006B2E60"/>
    <w:rsid w:val="006B587E"/>
    <w:rsid w:val="006B7CBF"/>
    <w:rsid w:val="006D013A"/>
    <w:rsid w:val="00716769"/>
    <w:rsid w:val="00716E53"/>
    <w:rsid w:val="00720076"/>
    <w:rsid w:val="00736827"/>
    <w:rsid w:val="007B0423"/>
    <w:rsid w:val="007D409E"/>
    <w:rsid w:val="007E211D"/>
    <w:rsid w:val="007F0BDD"/>
    <w:rsid w:val="0086713C"/>
    <w:rsid w:val="00870A26"/>
    <w:rsid w:val="00877C6E"/>
    <w:rsid w:val="00893653"/>
    <w:rsid w:val="008A0773"/>
    <w:rsid w:val="008A6FDA"/>
    <w:rsid w:val="0090184E"/>
    <w:rsid w:val="009213F7"/>
    <w:rsid w:val="00934569"/>
    <w:rsid w:val="00936DEF"/>
    <w:rsid w:val="00937BAB"/>
    <w:rsid w:val="00977B74"/>
    <w:rsid w:val="009A5007"/>
    <w:rsid w:val="009B1139"/>
    <w:rsid w:val="009C3A9F"/>
    <w:rsid w:val="009C449F"/>
    <w:rsid w:val="009D073C"/>
    <w:rsid w:val="009F3F2D"/>
    <w:rsid w:val="00A0406F"/>
    <w:rsid w:val="00A64CF0"/>
    <w:rsid w:val="00AB0E73"/>
    <w:rsid w:val="00AF0CEC"/>
    <w:rsid w:val="00B51AC6"/>
    <w:rsid w:val="00B72A64"/>
    <w:rsid w:val="00B8351E"/>
    <w:rsid w:val="00B87CDB"/>
    <w:rsid w:val="00BB4474"/>
    <w:rsid w:val="00BC1722"/>
    <w:rsid w:val="00BD0FCE"/>
    <w:rsid w:val="00C06320"/>
    <w:rsid w:val="00C67529"/>
    <w:rsid w:val="00CD3D61"/>
    <w:rsid w:val="00CE0E03"/>
    <w:rsid w:val="00CE17EE"/>
    <w:rsid w:val="00D14476"/>
    <w:rsid w:val="00D26C5A"/>
    <w:rsid w:val="00D33370"/>
    <w:rsid w:val="00D36A5E"/>
    <w:rsid w:val="00D5572D"/>
    <w:rsid w:val="00D64B05"/>
    <w:rsid w:val="00D839C7"/>
    <w:rsid w:val="00E40C78"/>
    <w:rsid w:val="00E86D3A"/>
    <w:rsid w:val="00EA5FD1"/>
    <w:rsid w:val="00EB30AA"/>
    <w:rsid w:val="00EB596A"/>
    <w:rsid w:val="00EE6E34"/>
    <w:rsid w:val="00F33880"/>
    <w:rsid w:val="00F64C8D"/>
    <w:rsid w:val="00F72525"/>
    <w:rsid w:val="00FD05FF"/>
    <w:rsid w:val="7A3E3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批注框文本 字符"/>
    <w:basedOn w:val="6"/>
    <w:link w:val="2"/>
    <w:semiHidden/>
    <w:uiPriority w:val="99"/>
    <w:rPr>
      <w:sz w:val="18"/>
      <w:szCs w:val="18"/>
    </w:rPr>
  </w:style>
  <w:style w:type="character" w:customStyle="1" w:styleId="9">
    <w:name w:val="页眉 字符"/>
    <w:basedOn w:val="6"/>
    <w:link w:val="4"/>
    <w:uiPriority w:val="99"/>
    <w:rPr>
      <w:sz w:val="18"/>
      <w:szCs w:val="18"/>
    </w:rPr>
  </w:style>
  <w:style w:type="character" w:customStyle="1" w:styleId="10">
    <w:name w:val="页脚 字符"/>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641A6B-155E-40D5-A9BA-0FC8D59D23E0}">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Pages>
  <Words>175</Words>
  <Characters>998</Characters>
  <Lines>8</Lines>
  <Paragraphs>2</Paragraphs>
  <TotalTime>35</TotalTime>
  <ScaleCrop>false</ScaleCrop>
  <LinksUpToDate>false</LinksUpToDate>
  <CharactersWithSpaces>1171</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2021-11-04T03:04:00Z</dcterms:created>
  <dc:creator>Clic</dc:creator>
  <cp:lastModifiedBy>袁嘉巍</cp:lastModifiedBy>
  <cp:lastPrinted>2021-11-03T04:04:00Z</cp:lastPrinted>
  <dcterms:modified xsi:type="dcterms:W3CDTF">2021-11-04T09:02:43Z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63C93D1422B446B78E485F544ACC049E</vt:lpwstr>
  </property>
</Properties>
</file>